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A6D1B23" w14:textId="77777777" w:rsidR="00403AE8" w:rsidRDefault="00403AE8" w:rsidP="009426A8">
      <w:pPr>
        <w:rPr>
          <w:noProof/>
        </w:rPr>
      </w:pPr>
      <w:bookmarkStart w:id="0" w:name="_GoBack"/>
      <w:bookmarkEnd w:id="0"/>
    </w:p>
    <w:p w14:paraId="296924D1" w14:textId="52EDC94E" w:rsidR="00EF16F5" w:rsidRPr="0059799A" w:rsidRDefault="00403AE8" w:rsidP="00403AE8">
      <w:pPr>
        <w:ind w:right="-165"/>
        <w:jc w:val="right"/>
      </w:pPr>
      <w:r>
        <w:rPr>
          <w:noProof/>
        </w:rPr>
        <w:drawing>
          <wp:inline distT="0" distB="0" distL="0" distR="0" wp14:anchorId="36692C2F" wp14:editId="2D17DC3B">
            <wp:extent cx="3058081" cy="695325"/>
            <wp:effectExtent l="0" t="0" r="9525" b="0"/>
            <wp:docPr id="3" name="Picture 3"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acrons_Small_CMYK (002).jpg"/>
                    <pic:cNvPicPr/>
                  </pic:nvPicPr>
                  <pic:blipFill rotWithShape="1">
                    <a:blip r:embed="rId9">
                      <a:extLst>
                        <a:ext uri="{28A0092B-C50C-407E-A947-70E740481C1C}">
                          <a14:useLocalDpi xmlns:a14="http://schemas.microsoft.com/office/drawing/2010/main" val="0"/>
                        </a:ext>
                      </a:extLst>
                    </a:blip>
                    <a:srcRect l="13661" t="31309" r="13534" b="31622"/>
                    <a:stretch/>
                  </pic:blipFill>
                  <pic:spPr bwMode="auto">
                    <a:xfrm>
                      <a:off x="0" y="0"/>
                      <a:ext cx="3192312" cy="725846"/>
                    </a:xfrm>
                    <a:prstGeom prst="rect">
                      <a:avLst/>
                    </a:prstGeom>
                    <a:ln>
                      <a:noFill/>
                    </a:ln>
                    <a:extLst>
                      <a:ext uri="{53640926-AAD7-44D8-BBD7-CCE9431645EC}">
                        <a14:shadowObscured xmlns:a14="http://schemas.microsoft.com/office/drawing/2010/main"/>
                      </a:ext>
                    </a:extLst>
                  </pic:spPr>
                </pic:pic>
              </a:graphicData>
            </a:graphic>
          </wp:inline>
        </w:drawing>
      </w:r>
    </w:p>
    <w:p w14:paraId="41B61E59" w14:textId="0750855D" w:rsidR="00FF3C87" w:rsidRDefault="00FF3C87" w:rsidP="00FF3C87">
      <w:pPr>
        <w:ind w:right="-188"/>
        <w:jc w:val="right"/>
      </w:pPr>
    </w:p>
    <w:p w14:paraId="02B70D8F" w14:textId="77777777" w:rsidR="00FF3C87" w:rsidRDefault="00FF3C87" w:rsidP="00FF3C87">
      <w:pPr>
        <w:jc w:val="both"/>
      </w:pPr>
    </w:p>
    <w:p w14:paraId="438FD687" w14:textId="77777777" w:rsidR="0025785A" w:rsidRDefault="0025785A" w:rsidP="00FF3C87">
      <w:pPr>
        <w:jc w:val="both"/>
      </w:pPr>
    </w:p>
    <w:p w14:paraId="0025E000" w14:textId="77777777" w:rsidR="0025785A" w:rsidRDefault="0025785A" w:rsidP="00FF3C87">
      <w:pPr>
        <w:jc w:val="both"/>
      </w:pPr>
    </w:p>
    <w:tbl>
      <w:tblPr>
        <w:tblStyle w:val="TableGrid"/>
        <w:tblW w:w="8505" w:type="dxa"/>
        <w:tblInd w:w="959" w:type="dxa"/>
        <w:tblBorders>
          <w:top w:val="single" w:sz="4" w:space="0" w:color="EFECE8"/>
          <w:left w:val="single" w:sz="4" w:space="0" w:color="EFECE8"/>
          <w:bottom w:val="single" w:sz="4" w:space="0" w:color="EFECE8"/>
          <w:right w:val="single" w:sz="4" w:space="0" w:color="EFECE8"/>
          <w:insideH w:val="single" w:sz="4" w:space="0" w:color="EFECE8"/>
          <w:insideV w:val="single" w:sz="4" w:space="0" w:color="EFECE8"/>
        </w:tblBorders>
        <w:shd w:val="clear" w:color="auto" w:fill="EFECE8"/>
        <w:tblLook w:val="04A0" w:firstRow="1" w:lastRow="0" w:firstColumn="1" w:lastColumn="0" w:noHBand="0" w:noVBand="1"/>
      </w:tblPr>
      <w:tblGrid>
        <w:gridCol w:w="8505"/>
      </w:tblGrid>
      <w:tr w:rsidR="00C13E62" w14:paraId="24739626" w14:textId="77777777" w:rsidTr="00B65784">
        <w:tc>
          <w:tcPr>
            <w:tcW w:w="8505" w:type="dxa"/>
            <w:shd w:val="clear" w:color="auto" w:fill="EFECE8"/>
          </w:tcPr>
          <w:p w14:paraId="480F1A25" w14:textId="77777777" w:rsidR="00C13E62" w:rsidRDefault="00C13E62" w:rsidP="00B65784">
            <w:pPr>
              <w:jc w:val="right"/>
              <w:rPr>
                <w:rFonts w:eastAsiaTheme="majorEastAsia" w:cstheme="majorBidi"/>
                <w:b/>
                <w:bCs/>
                <w:color w:val="B43412" w:themeColor="accent1" w:themeShade="BF"/>
                <w:sz w:val="28"/>
                <w:szCs w:val="28"/>
              </w:rPr>
            </w:pPr>
          </w:p>
          <w:p w14:paraId="066AD57D" w14:textId="77777777" w:rsidR="002627FD" w:rsidRPr="00380E28" w:rsidRDefault="00C13E62" w:rsidP="00DC3448">
            <w:pPr>
              <w:tabs>
                <w:tab w:val="left" w:pos="353"/>
              </w:tabs>
              <w:jc w:val="right"/>
              <w:rPr>
                <w:rFonts w:ascii="Arial" w:eastAsiaTheme="majorEastAsia" w:hAnsi="Arial" w:cs="Arial"/>
                <w:b/>
                <w:bCs/>
                <w:color w:val="004150"/>
                <w:sz w:val="36"/>
                <w:szCs w:val="36"/>
              </w:rPr>
            </w:pPr>
            <w:r w:rsidRPr="00380E28">
              <w:rPr>
                <w:rFonts w:ascii="Arial" w:eastAsiaTheme="majorEastAsia" w:hAnsi="Arial" w:cs="Arial"/>
                <w:b/>
                <w:bCs/>
                <w:color w:val="004150"/>
                <w:sz w:val="36"/>
                <w:szCs w:val="36"/>
              </w:rPr>
              <w:t>SPOT CHECK ON CREDIT REPORTER</w:t>
            </w:r>
            <w:r w:rsidR="00DC3448">
              <w:rPr>
                <w:rFonts w:ascii="Arial" w:eastAsiaTheme="majorEastAsia" w:hAnsi="Arial" w:cs="Arial"/>
                <w:b/>
                <w:bCs/>
                <w:color w:val="004150"/>
                <w:sz w:val="36"/>
                <w:szCs w:val="36"/>
              </w:rPr>
              <w:t>S</w:t>
            </w:r>
          </w:p>
          <w:p w14:paraId="4B8CC851" w14:textId="77777777" w:rsidR="002627FD" w:rsidRPr="00380E28" w:rsidRDefault="002627FD" w:rsidP="00B65784">
            <w:pPr>
              <w:jc w:val="right"/>
              <w:rPr>
                <w:rFonts w:ascii="Arial" w:eastAsiaTheme="majorEastAsia" w:hAnsi="Arial" w:cs="Arial"/>
                <w:b/>
                <w:bCs/>
                <w:color w:val="004150"/>
                <w:sz w:val="20"/>
                <w:szCs w:val="20"/>
              </w:rPr>
            </w:pPr>
          </w:p>
          <w:p w14:paraId="72EDB632" w14:textId="77777777" w:rsidR="00C13E62" w:rsidRDefault="0084636F" w:rsidP="00B65784">
            <w:pPr>
              <w:jc w:val="right"/>
              <w:rPr>
                <w:rFonts w:eastAsiaTheme="majorEastAsia" w:cstheme="majorBidi"/>
                <w:b/>
                <w:bCs/>
                <w:color w:val="B43412" w:themeColor="accent1" w:themeShade="BF"/>
                <w:sz w:val="28"/>
                <w:szCs w:val="28"/>
              </w:rPr>
            </w:pPr>
            <w:bookmarkStart w:id="1" w:name="_Hlk2882031"/>
            <w:r>
              <w:rPr>
                <w:rFonts w:ascii="Arial" w:eastAsiaTheme="majorEastAsia" w:hAnsi="Arial" w:cs="Arial"/>
                <w:b/>
                <w:bCs/>
                <w:color w:val="004150"/>
                <w:sz w:val="36"/>
                <w:szCs w:val="36"/>
              </w:rPr>
              <w:t>October 2018</w:t>
            </w:r>
            <w:r w:rsidR="00C13E62" w:rsidRPr="00380E28">
              <w:rPr>
                <w:rFonts w:ascii="Arial" w:eastAsiaTheme="majorEastAsia" w:hAnsi="Arial" w:cs="Arial"/>
                <w:b/>
                <w:bCs/>
                <w:color w:val="004150"/>
                <w:sz w:val="36"/>
                <w:szCs w:val="36"/>
              </w:rPr>
              <w:t xml:space="preserve"> – </w:t>
            </w:r>
            <w:r>
              <w:rPr>
                <w:rFonts w:ascii="Arial" w:eastAsiaTheme="majorEastAsia" w:hAnsi="Arial" w:cs="Arial"/>
                <w:b/>
                <w:bCs/>
                <w:color w:val="004150"/>
                <w:sz w:val="36"/>
                <w:szCs w:val="36"/>
              </w:rPr>
              <w:t>February</w:t>
            </w:r>
            <w:r w:rsidR="00C13E62" w:rsidRPr="00380E28">
              <w:rPr>
                <w:rFonts w:ascii="Arial" w:eastAsiaTheme="majorEastAsia" w:hAnsi="Arial" w:cs="Arial"/>
                <w:b/>
                <w:bCs/>
                <w:color w:val="004150"/>
                <w:sz w:val="36"/>
                <w:szCs w:val="36"/>
              </w:rPr>
              <w:t xml:space="preserve"> 201</w:t>
            </w:r>
            <w:r w:rsidR="00DC3448">
              <w:rPr>
                <w:rFonts w:ascii="Arial" w:eastAsiaTheme="majorEastAsia" w:hAnsi="Arial" w:cs="Arial"/>
                <w:b/>
                <w:bCs/>
                <w:color w:val="004150"/>
                <w:sz w:val="36"/>
                <w:szCs w:val="36"/>
              </w:rPr>
              <w:t>9</w:t>
            </w:r>
            <w:bookmarkEnd w:id="1"/>
          </w:p>
        </w:tc>
      </w:tr>
      <w:tr w:rsidR="002627FD" w14:paraId="0E5963C2" w14:textId="77777777" w:rsidTr="00B65784">
        <w:tc>
          <w:tcPr>
            <w:tcW w:w="8505" w:type="dxa"/>
            <w:shd w:val="clear" w:color="auto" w:fill="EFECE8"/>
          </w:tcPr>
          <w:p w14:paraId="0153FE8F" w14:textId="77777777" w:rsidR="002627FD" w:rsidRDefault="002627FD" w:rsidP="00B65784">
            <w:pPr>
              <w:jc w:val="right"/>
              <w:rPr>
                <w:rFonts w:eastAsiaTheme="majorEastAsia" w:cstheme="majorBidi"/>
                <w:b/>
                <w:bCs/>
                <w:color w:val="B43412" w:themeColor="accent1" w:themeShade="BF"/>
                <w:sz w:val="28"/>
                <w:szCs w:val="28"/>
              </w:rPr>
            </w:pPr>
          </w:p>
        </w:tc>
      </w:tr>
    </w:tbl>
    <w:p w14:paraId="1654B89C" w14:textId="77777777" w:rsidR="0025785A" w:rsidRDefault="0025785A" w:rsidP="0025785A">
      <w:pPr>
        <w:ind w:left="-142"/>
        <w:jc w:val="center"/>
        <w:rPr>
          <w:rFonts w:eastAsiaTheme="majorEastAsia" w:cstheme="majorBidi"/>
          <w:b/>
          <w:bCs/>
          <w:color w:val="B43412" w:themeColor="accent1" w:themeShade="BF"/>
          <w:sz w:val="28"/>
          <w:szCs w:val="28"/>
        </w:rPr>
      </w:pPr>
    </w:p>
    <w:p w14:paraId="4B3B0151" w14:textId="77777777" w:rsidR="002627FD" w:rsidRDefault="000B6662" w:rsidP="0025785A">
      <w:pPr>
        <w:ind w:left="-142"/>
        <w:jc w:val="right"/>
        <w:rPr>
          <w:rFonts w:eastAsiaTheme="majorEastAsia" w:cstheme="majorBidi"/>
          <w:b/>
          <w:bCs/>
          <w:color w:val="B43412" w:themeColor="accent1" w:themeShade="BF"/>
          <w:sz w:val="28"/>
          <w:szCs w:val="28"/>
        </w:rPr>
      </w:pPr>
      <w:r>
        <w:rPr>
          <w:noProof/>
        </w:rPr>
        <w:drawing>
          <wp:inline distT="0" distB="0" distL="0" distR="0" wp14:anchorId="047DFCAF" wp14:editId="70538004">
            <wp:extent cx="5925820" cy="437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9552" cy="4374728"/>
                    </a:xfrm>
                    <a:prstGeom prst="rect">
                      <a:avLst/>
                    </a:prstGeom>
                    <a:noFill/>
                    <a:ln>
                      <a:noFill/>
                    </a:ln>
                  </pic:spPr>
                </pic:pic>
              </a:graphicData>
            </a:graphic>
          </wp:inline>
        </w:drawing>
      </w:r>
    </w:p>
    <w:p w14:paraId="31AE4AF1" w14:textId="77777777" w:rsidR="0025785A" w:rsidRDefault="0025785A" w:rsidP="00C13E62">
      <w:pPr>
        <w:rPr>
          <w:rFonts w:eastAsiaTheme="majorEastAsia" w:cstheme="majorBidi"/>
          <w:b/>
          <w:bCs/>
          <w:color w:val="B43412" w:themeColor="accent1" w:themeShade="BF"/>
          <w:sz w:val="28"/>
          <w:szCs w:val="28"/>
        </w:rPr>
      </w:pPr>
    </w:p>
    <w:p w14:paraId="067DDEDD" w14:textId="5DD2307A" w:rsidR="00FF3C87" w:rsidRPr="00380E28" w:rsidRDefault="00DC3448" w:rsidP="00B65784">
      <w:pPr>
        <w:tabs>
          <w:tab w:val="right" w:pos="9333"/>
        </w:tabs>
        <w:jc w:val="right"/>
        <w:rPr>
          <w:rFonts w:ascii="Arial" w:eastAsiaTheme="majorEastAsia" w:hAnsi="Arial" w:cs="Arial"/>
          <w:b/>
          <w:bCs/>
          <w:color w:val="004150"/>
          <w:sz w:val="24"/>
          <w:szCs w:val="24"/>
        </w:rPr>
        <w:sectPr w:rsidR="00FF3C87" w:rsidRPr="00380E28" w:rsidSect="00403AE8">
          <w:headerReference w:type="default" r:id="rId11"/>
          <w:footerReference w:type="default" r:id="rId12"/>
          <w:pgSz w:w="11906" w:h="16838"/>
          <w:pgMar w:top="142" w:right="1133" w:bottom="1276" w:left="1440" w:header="708" w:footer="708" w:gutter="0"/>
          <w:pgNumType w:start="0"/>
          <w:cols w:space="708"/>
          <w:docGrid w:linePitch="360"/>
        </w:sectPr>
      </w:pPr>
      <w:r>
        <w:rPr>
          <w:rFonts w:ascii="Arial" w:eastAsiaTheme="majorEastAsia" w:hAnsi="Arial" w:cs="Arial"/>
          <w:b/>
          <w:bCs/>
          <w:color w:val="004150"/>
          <w:sz w:val="24"/>
          <w:szCs w:val="24"/>
        </w:rPr>
        <w:t xml:space="preserve">30 </w:t>
      </w:r>
      <w:r w:rsidR="0041516C">
        <w:rPr>
          <w:rFonts w:ascii="Arial" w:eastAsiaTheme="majorEastAsia" w:hAnsi="Arial" w:cs="Arial"/>
          <w:b/>
          <w:bCs/>
          <w:color w:val="004150"/>
          <w:sz w:val="24"/>
          <w:szCs w:val="24"/>
        </w:rPr>
        <w:t>April</w:t>
      </w:r>
      <w:r>
        <w:rPr>
          <w:rFonts w:ascii="Arial" w:eastAsiaTheme="majorEastAsia" w:hAnsi="Arial" w:cs="Arial"/>
          <w:b/>
          <w:bCs/>
          <w:color w:val="004150"/>
          <w:sz w:val="24"/>
          <w:szCs w:val="24"/>
        </w:rPr>
        <w:t xml:space="preserve"> 2019</w:t>
      </w:r>
    </w:p>
    <w:p w14:paraId="6FD34268" w14:textId="77777777" w:rsidR="003423B6" w:rsidRPr="00135D69" w:rsidRDefault="009070D7" w:rsidP="00380E28">
      <w:pPr>
        <w:spacing w:after="0"/>
        <w:jc w:val="both"/>
        <w:rPr>
          <w:rFonts w:ascii="Arial" w:eastAsiaTheme="majorEastAsia" w:hAnsi="Arial" w:cs="Arial"/>
          <w:b/>
          <w:bCs/>
          <w:color w:val="004150"/>
          <w:sz w:val="28"/>
          <w:szCs w:val="28"/>
        </w:rPr>
      </w:pPr>
      <w:r w:rsidRPr="00135D69">
        <w:rPr>
          <w:rFonts w:ascii="Arial" w:eastAsiaTheme="majorEastAsia" w:hAnsi="Arial" w:cs="Arial"/>
          <w:b/>
          <w:bCs/>
          <w:color w:val="004150"/>
          <w:sz w:val="28"/>
          <w:szCs w:val="28"/>
        </w:rPr>
        <w:lastRenderedPageBreak/>
        <w:t>S</w:t>
      </w:r>
      <w:r w:rsidR="00625378" w:rsidRPr="00135D69">
        <w:rPr>
          <w:rFonts w:ascii="Arial" w:eastAsiaTheme="majorEastAsia" w:hAnsi="Arial" w:cs="Arial"/>
          <w:b/>
          <w:bCs/>
          <w:color w:val="004150"/>
          <w:sz w:val="28"/>
          <w:szCs w:val="28"/>
        </w:rPr>
        <w:t xml:space="preserve">POT CHECK ON CREDIT REPORTER COMPLIANCE </w:t>
      </w:r>
    </w:p>
    <w:p w14:paraId="16A7795C" w14:textId="77777777" w:rsidR="004741A6" w:rsidRPr="00135D69" w:rsidRDefault="004741A6" w:rsidP="00380E28">
      <w:pPr>
        <w:pStyle w:val="Heading1"/>
        <w:keepNext w:val="0"/>
        <w:keepLines w:val="0"/>
        <w:spacing w:before="360" w:after="120"/>
        <w:rPr>
          <w:rFonts w:ascii="Arial" w:hAnsi="Arial" w:cs="Arial"/>
          <w:color w:val="E15F55"/>
          <w:sz w:val="24"/>
          <w:szCs w:val="24"/>
        </w:rPr>
      </w:pPr>
      <w:r w:rsidRPr="00135D69">
        <w:rPr>
          <w:rFonts w:ascii="Arial" w:hAnsi="Arial" w:cs="Arial"/>
          <w:color w:val="E15F55"/>
          <w:sz w:val="24"/>
          <w:szCs w:val="24"/>
        </w:rPr>
        <w:t xml:space="preserve">Introduction </w:t>
      </w:r>
    </w:p>
    <w:p w14:paraId="31E76F5A" w14:textId="6A51EFE3" w:rsidR="00753D5D" w:rsidRDefault="00753D5D" w:rsidP="00403AE8">
      <w:pPr>
        <w:jc w:val="both"/>
        <w:rPr>
          <w:rFonts w:ascii="Arial" w:hAnsi="Arial" w:cs="Arial"/>
        </w:rPr>
      </w:pPr>
      <w:r>
        <w:rPr>
          <w:rFonts w:ascii="Arial" w:hAnsi="Arial" w:cs="Arial"/>
        </w:rPr>
        <w:t xml:space="preserve">Between </w:t>
      </w:r>
      <w:r w:rsidRPr="00753D5D">
        <w:rPr>
          <w:rFonts w:ascii="Arial" w:hAnsi="Arial" w:cs="Arial"/>
        </w:rPr>
        <w:t xml:space="preserve">October 2018 </w:t>
      </w:r>
      <w:r>
        <w:rPr>
          <w:rFonts w:ascii="Arial" w:hAnsi="Arial" w:cs="Arial"/>
        </w:rPr>
        <w:t>and</w:t>
      </w:r>
      <w:r w:rsidRPr="00753D5D">
        <w:rPr>
          <w:rFonts w:ascii="Arial" w:hAnsi="Arial" w:cs="Arial"/>
        </w:rPr>
        <w:t xml:space="preserve"> February 2019,</w:t>
      </w:r>
      <w:r w:rsidR="00DA5514" w:rsidRPr="00135D69">
        <w:rPr>
          <w:rFonts w:ascii="Arial" w:hAnsi="Arial" w:cs="Arial"/>
        </w:rPr>
        <w:t xml:space="preserve"> the Office of the Privacy Commissioner</w:t>
      </w:r>
      <w:r w:rsidR="009070D7" w:rsidRPr="00135D69">
        <w:rPr>
          <w:rFonts w:ascii="Arial" w:hAnsi="Arial" w:cs="Arial"/>
        </w:rPr>
        <w:t xml:space="preserve"> (OPC)</w:t>
      </w:r>
      <w:r w:rsidR="008252C7" w:rsidRPr="00135D69">
        <w:rPr>
          <w:rFonts w:ascii="Arial" w:hAnsi="Arial" w:cs="Arial"/>
        </w:rPr>
        <w:t xml:space="preserve"> </w:t>
      </w:r>
      <w:r w:rsidR="001B519F" w:rsidRPr="00135D69">
        <w:rPr>
          <w:rFonts w:ascii="Arial" w:hAnsi="Arial" w:cs="Arial"/>
        </w:rPr>
        <w:t>conducted a spot check on the</w:t>
      </w:r>
      <w:r w:rsidR="009070D7" w:rsidRPr="00135D69">
        <w:rPr>
          <w:rFonts w:ascii="Arial" w:hAnsi="Arial" w:cs="Arial"/>
        </w:rPr>
        <w:t xml:space="preserve"> three national consumer credit report</w:t>
      </w:r>
      <w:r w:rsidR="00DC3448" w:rsidRPr="00135D69">
        <w:rPr>
          <w:rFonts w:ascii="Arial" w:hAnsi="Arial" w:cs="Arial"/>
        </w:rPr>
        <w:t xml:space="preserve">ers – Centrix, Equifax and </w:t>
      </w:r>
      <w:r w:rsidR="00BA10FA">
        <w:rPr>
          <w:rFonts w:ascii="Arial" w:hAnsi="Arial" w:cs="Arial"/>
        </w:rPr>
        <w:t>i</w:t>
      </w:r>
      <w:r w:rsidR="00DC3448" w:rsidRPr="00135D69">
        <w:rPr>
          <w:rFonts w:ascii="Arial" w:hAnsi="Arial" w:cs="Arial"/>
        </w:rPr>
        <w:t xml:space="preserve">llion. </w:t>
      </w:r>
    </w:p>
    <w:p w14:paraId="16A79AA0" w14:textId="3990FC68" w:rsidR="00C10CA4" w:rsidRPr="00135D69" w:rsidRDefault="00C10CA4" w:rsidP="00403AE8">
      <w:pPr>
        <w:jc w:val="both"/>
        <w:rPr>
          <w:rFonts w:ascii="Arial" w:hAnsi="Arial" w:cs="Arial"/>
        </w:rPr>
      </w:pPr>
      <w:r w:rsidRPr="00135D69">
        <w:rPr>
          <w:rFonts w:ascii="Arial" w:hAnsi="Arial" w:cs="Arial"/>
        </w:rPr>
        <w:t>The spot check</w:t>
      </w:r>
      <w:r w:rsidR="00DC3448" w:rsidRPr="00135D69">
        <w:rPr>
          <w:rFonts w:ascii="Arial" w:hAnsi="Arial" w:cs="Arial"/>
        </w:rPr>
        <w:t>s</w:t>
      </w:r>
      <w:r w:rsidRPr="00135D69">
        <w:rPr>
          <w:rFonts w:ascii="Arial" w:hAnsi="Arial" w:cs="Arial"/>
        </w:rPr>
        <w:t xml:space="preserve"> tested </w:t>
      </w:r>
      <w:r w:rsidR="009070D7" w:rsidRPr="00135D69">
        <w:rPr>
          <w:rFonts w:ascii="Arial" w:hAnsi="Arial" w:cs="Arial"/>
        </w:rPr>
        <w:t>credit reporter</w:t>
      </w:r>
      <w:r w:rsidRPr="00135D69">
        <w:rPr>
          <w:rFonts w:ascii="Arial" w:hAnsi="Arial" w:cs="Arial"/>
        </w:rPr>
        <w:t xml:space="preserve"> practice </w:t>
      </w:r>
      <w:r w:rsidR="00B973CD">
        <w:rPr>
          <w:rFonts w:ascii="Arial" w:hAnsi="Arial" w:cs="Arial"/>
        </w:rPr>
        <w:t>in providing</w:t>
      </w:r>
      <w:r w:rsidRPr="00135D69">
        <w:rPr>
          <w:rFonts w:ascii="Arial" w:hAnsi="Arial" w:cs="Arial"/>
        </w:rPr>
        <w:t xml:space="preserve"> individuals access to their credit information</w:t>
      </w:r>
      <w:r w:rsidR="00DC3448" w:rsidRPr="00135D69">
        <w:rPr>
          <w:rFonts w:ascii="Arial" w:hAnsi="Arial" w:cs="Arial"/>
        </w:rPr>
        <w:t>.</w:t>
      </w:r>
      <w:r w:rsidR="000A53AB">
        <w:rPr>
          <w:rFonts w:ascii="Arial" w:hAnsi="Arial" w:cs="Arial"/>
        </w:rPr>
        <w:t xml:space="preserve"> </w:t>
      </w:r>
    </w:p>
    <w:p w14:paraId="36E3B82E" w14:textId="77777777" w:rsidR="00AC04B9" w:rsidRPr="00135D69" w:rsidRDefault="000576F6" w:rsidP="00403AE8">
      <w:pPr>
        <w:jc w:val="both"/>
        <w:rPr>
          <w:rFonts w:ascii="Arial" w:hAnsi="Arial" w:cs="Arial"/>
        </w:rPr>
      </w:pPr>
      <w:r w:rsidRPr="00135D69">
        <w:rPr>
          <w:rFonts w:ascii="Arial" w:hAnsi="Arial" w:cs="Arial"/>
        </w:rPr>
        <w:t xml:space="preserve">The spot check was conducted </w:t>
      </w:r>
      <w:r w:rsidR="002226F4">
        <w:rPr>
          <w:rFonts w:ascii="Arial" w:hAnsi="Arial" w:cs="Arial"/>
        </w:rPr>
        <w:t>using</w:t>
      </w:r>
      <w:r w:rsidR="009070D7" w:rsidRPr="00135D69">
        <w:rPr>
          <w:rFonts w:ascii="Arial" w:hAnsi="Arial" w:cs="Arial"/>
        </w:rPr>
        <w:t xml:space="preserve"> a ‘mystery shopping’ process</w:t>
      </w:r>
      <w:r w:rsidR="0031662B" w:rsidRPr="00135D69">
        <w:rPr>
          <w:rFonts w:ascii="Arial" w:hAnsi="Arial" w:cs="Arial"/>
        </w:rPr>
        <w:t>.</w:t>
      </w:r>
      <w:r w:rsidR="00B70872" w:rsidRPr="00135D69">
        <w:rPr>
          <w:rFonts w:ascii="Arial" w:hAnsi="Arial" w:cs="Arial"/>
        </w:rPr>
        <w:t xml:space="preserve"> To do this, </w:t>
      </w:r>
      <w:r w:rsidR="008D2437" w:rsidRPr="00135D69">
        <w:rPr>
          <w:rFonts w:ascii="Arial" w:hAnsi="Arial" w:cs="Arial"/>
        </w:rPr>
        <w:t>w</w:t>
      </w:r>
      <w:r w:rsidR="008252C7" w:rsidRPr="00135D69">
        <w:rPr>
          <w:rFonts w:ascii="Arial" w:hAnsi="Arial" w:cs="Arial"/>
        </w:rPr>
        <w:t xml:space="preserve">e </w:t>
      </w:r>
      <w:r w:rsidR="008D2437" w:rsidRPr="00135D69">
        <w:rPr>
          <w:rFonts w:ascii="Arial" w:hAnsi="Arial" w:cs="Arial"/>
        </w:rPr>
        <w:t xml:space="preserve">arranged </w:t>
      </w:r>
      <w:r w:rsidR="009070D7" w:rsidRPr="00135D69">
        <w:rPr>
          <w:rFonts w:ascii="Arial" w:hAnsi="Arial" w:cs="Arial"/>
        </w:rPr>
        <w:t xml:space="preserve">through a contractor </w:t>
      </w:r>
      <w:r w:rsidR="008D2437" w:rsidRPr="00135D69">
        <w:rPr>
          <w:rFonts w:ascii="Arial" w:hAnsi="Arial" w:cs="Arial"/>
        </w:rPr>
        <w:t xml:space="preserve">for </w:t>
      </w:r>
      <w:r w:rsidR="003A73D6">
        <w:rPr>
          <w:rFonts w:ascii="Arial" w:hAnsi="Arial" w:cs="Arial"/>
        </w:rPr>
        <w:t xml:space="preserve">30 </w:t>
      </w:r>
      <w:r w:rsidR="00414D3F" w:rsidRPr="00135D69">
        <w:rPr>
          <w:rFonts w:ascii="Arial" w:hAnsi="Arial" w:cs="Arial"/>
        </w:rPr>
        <w:t>people to</w:t>
      </w:r>
      <w:r w:rsidR="008252C7" w:rsidRPr="00135D69">
        <w:rPr>
          <w:rFonts w:ascii="Arial" w:hAnsi="Arial" w:cs="Arial"/>
        </w:rPr>
        <w:t xml:space="preserve"> seek their own credit reports</w:t>
      </w:r>
      <w:r w:rsidR="00115E94">
        <w:rPr>
          <w:rFonts w:ascii="Arial" w:hAnsi="Arial" w:cs="Arial"/>
        </w:rPr>
        <w:t xml:space="preserve"> and report on their experience.</w:t>
      </w:r>
    </w:p>
    <w:tbl>
      <w:tblPr>
        <w:tblStyle w:val="TableGrid"/>
        <w:tblW w:w="9190" w:type="dxa"/>
        <w:tblInd w:w="-10" w:type="dxa"/>
        <w:tblBorders>
          <w:top w:val="single" w:sz="8" w:space="0" w:color="EFECE8"/>
          <w:left w:val="single" w:sz="8" w:space="0" w:color="EFECE8"/>
          <w:bottom w:val="single" w:sz="8" w:space="0" w:color="EFECE8"/>
          <w:right w:val="single" w:sz="8" w:space="0" w:color="EFECE8"/>
          <w:insideH w:val="single" w:sz="8" w:space="0" w:color="EFECE8"/>
          <w:insideV w:val="single" w:sz="8" w:space="0" w:color="EFECE8"/>
        </w:tblBorders>
        <w:shd w:val="clear" w:color="auto" w:fill="EFECE8"/>
        <w:tblLook w:val="04A0" w:firstRow="1" w:lastRow="0" w:firstColumn="1" w:lastColumn="0" w:noHBand="0" w:noVBand="1"/>
      </w:tblPr>
      <w:tblGrid>
        <w:gridCol w:w="9190"/>
      </w:tblGrid>
      <w:tr w:rsidR="000C514C" w:rsidRPr="00D173D5" w14:paraId="6CC2AECE" w14:textId="77777777" w:rsidTr="00436F7B">
        <w:tc>
          <w:tcPr>
            <w:tcW w:w="9190" w:type="dxa"/>
            <w:shd w:val="clear" w:color="auto" w:fill="EFECE8"/>
          </w:tcPr>
          <w:p w14:paraId="591D7E32" w14:textId="77777777" w:rsidR="00AC04B9" w:rsidRPr="00D173D5" w:rsidRDefault="00AC04B9" w:rsidP="009426A8">
            <w:pPr>
              <w:rPr>
                <w:rFonts w:ascii="Arial" w:eastAsiaTheme="majorEastAsia" w:hAnsi="Arial" w:cs="Arial"/>
                <w:bCs/>
                <w:color w:val="004150"/>
                <w:sz w:val="10"/>
                <w:szCs w:val="10"/>
              </w:rPr>
            </w:pPr>
          </w:p>
          <w:p w14:paraId="5B7F3AED" w14:textId="77777777" w:rsidR="000C514C" w:rsidRPr="00403AE8" w:rsidRDefault="000A53AB" w:rsidP="00AC04B9">
            <w:pPr>
              <w:jc w:val="both"/>
              <w:rPr>
                <w:rFonts w:ascii="Arial" w:eastAsiaTheme="majorEastAsia" w:hAnsi="Arial" w:cs="Arial"/>
                <w:b/>
                <w:bCs/>
                <w:color w:val="004150"/>
                <w:sz w:val="20"/>
                <w:szCs w:val="20"/>
              </w:rPr>
            </w:pPr>
            <w:r w:rsidRPr="00403AE8">
              <w:rPr>
                <w:rFonts w:ascii="Arial" w:eastAsiaTheme="majorEastAsia" w:hAnsi="Arial" w:cs="Arial"/>
                <w:b/>
                <w:bCs/>
                <w:color w:val="004150"/>
                <w:sz w:val="20"/>
                <w:szCs w:val="20"/>
              </w:rPr>
              <w:t>Headline results</w:t>
            </w:r>
            <w:r w:rsidR="000C514C" w:rsidRPr="00403AE8">
              <w:rPr>
                <w:rFonts w:ascii="Arial" w:eastAsiaTheme="majorEastAsia" w:hAnsi="Arial" w:cs="Arial"/>
                <w:b/>
                <w:bCs/>
                <w:color w:val="004150"/>
                <w:sz w:val="20"/>
                <w:szCs w:val="20"/>
              </w:rPr>
              <w:t xml:space="preserve">: </w:t>
            </w:r>
          </w:p>
          <w:p w14:paraId="3B046C1E" w14:textId="77777777" w:rsidR="00AC04B9" w:rsidRPr="00D173D5" w:rsidRDefault="00AC04B9" w:rsidP="00AC04B9">
            <w:pPr>
              <w:jc w:val="both"/>
              <w:rPr>
                <w:rFonts w:ascii="Arial" w:eastAsiaTheme="majorEastAsia" w:hAnsi="Arial" w:cs="Arial"/>
                <w:bCs/>
                <w:color w:val="004150"/>
                <w:sz w:val="10"/>
                <w:szCs w:val="10"/>
              </w:rPr>
            </w:pPr>
          </w:p>
          <w:p w14:paraId="33B48275" w14:textId="639AAE68" w:rsidR="000C514C" w:rsidRDefault="00AB68B1" w:rsidP="00C56C49">
            <w:pPr>
              <w:pStyle w:val="ListParagraph"/>
              <w:numPr>
                <w:ilvl w:val="0"/>
                <w:numId w:val="7"/>
              </w:numPr>
              <w:spacing w:after="120" w:line="276" w:lineRule="auto"/>
              <w:ind w:left="318" w:hanging="284"/>
              <w:rPr>
                <w:rFonts w:ascii="Arial" w:eastAsiaTheme="majorEastAsia" w:hAnsi="Arial" w:cs="Arial"/>
                <w:bCs/>
                <w:color w:val="004150"/>
                <w:sz w:val="20"/>
                <w:szCs w:val="20"/>
              </w:rPr>
            </w:pPr>
            <w:r w:rsidRPr="00AB68B1">
              <w:rPr>
                <w:rFonts w:ascii="Arial" w:eastAsiaTheme="majorEastAsia" w:hAnsi="Arial" w:cs="Arial"/>
                <w:bCs/>
                <w:color w:val="004150"/>
                <w:sz w:val="20"/>
                <w:szCs w:val="20"/>
              </w:rPr>
              <w:t xml:space="preserve">Credit reporters </w:t>
            </w:r>
            <w:r>
              <w:rPr>
                <w:rFonts w:ascii="Arial" w:eastAsiaTheme="majorEastAsia" w:hAnsi="Arial" w:cs="Arial"/>
                <w:bCs/>
                <w:color w:val="004150"/>
                <w:sz w:val="20"/>
                <w:szCs w:val="20"/>
              </w:rPr>
              <w:t>are often failing to meet</w:t>
            </w:r>
            <w:r w:rsidRPr="00AB68B1">
              <w:rPr>
                <w:rFonts w:ascii="Arial" w:eastAsiaTheme="majorEastAsia" w:hAnsi="Arial" w:cs="Arial"/>
                <w:bCs/>
                <w:color w:val="004150"/>
                <w:sz w:val="20"/>
                <w:szCs w:val="20"/>
              </w:rPr>
              <w:t xml:space="preserve"> the 5 </w:t>
            </w:r>
            <w:r>
              <w:rPr>
                <w:rFonts w:ascii="Arial" w:eastAsiaTheme="majorEastAsia" w:hAnsi="Arial" w:cs="Arial"/>
                <w:bCs/>
                <w:color w:val="004150"/>
                <w:sz w:val="20"/>
                <w:szCs w:val="20"/>
              </w:rPr>
              <w:t xml:space="preserve">working </w:t>
            </w:r>
            <w:r w:rsidRPr="00AB68B1">
              <w:rPr>
                <w:rFonts w:ascii="Arial" w:eastAsiaTheme="majorEastAsia" w:hAnsi="Arial" w:cs="Arial"/>
                <w:bCs/>
                <w:color w:val="004150"/>
                <w:sz w:val="20"/>
                <w:szCs w:val="20"/>
              </w:rPr>
              <w:t xml:space="preserve">day timeliness </w:t>
            </w:r>
            <w:r>
              <w:rPr>
                <w:rFonts w:ascii="Arial" w:eastAsiaTheme="majorEastAsia" w:hAnsi="Arial" w:cs="Arial"/>
                <w:bCs/>
                <w:color w:val="004150"/>
                <w:sz w:val="20"/>
                <w:szCs w:val="20"/>
              </w:rPr>
              <w:t>rule</w:t>
            </w:r>
            <w:r w:rsidRPr="00AB68B1">
              <w:rPr>
                <w:rFonts w:ascii="Arial" w:eastAsiaTheme="majorEastAsia" w:hAnsi="Arial" w:cs="Arial"/>
                <w:bCs/>
                <w:color w:val="004150"/>
                <w:sz w:val="20"/>
                <w:szCs w:val="20"/>
              </w:rPr>
              <w:t xml:space="preserve"> for </w:t>
            </w:r>
            <w:r w:rsidR="003F4368">
              <w:rPr>
                <w:rFonts w:ascii="Arial" w:eastAsiaTheme="majorEastAsia" w:hAnsi="Arial" w:cs="Arial"/>
                <w:bCs/>
                <w:color w:val="004150"/>
                <w:sz w:val="20"/>
                <w:szCs w:val="20"/>
              </w:rPr>
              <w:t>expedited</w:t>
            </w:r>
            <w:r w:rsidRPr="00AB68B1">
              <w:rPr>
                <w:rFonts w:ascii="Arial" w:eastAsiaTheme="majorEastAsia" w:hAnsi="Arial" w:cs="Arial"/>
                <w:bCs/>
                <w:color w:val="004150"/>
                <w:sz w:val="20"/>
                <w:szCs w:val="20"/>
              </w:rPr>
              <w:t xml:space="preserve"> reports</w:t>
            </w:r>
            <w:r w:rsidR="0041516C">
              <w:rPr>
                <w:rFonts w:ascii="Arial" w:eastAsiaTheme="majorEastAsia" w:hAnsi="Arial" w:cs="Arial"/>
                <w:bCs/>
                <w:color w:val="004150"/>
                <w:sz w:val="20"/>
                <w:szCs w:val="20"/>
              </w:rPr>
              <w:t>.</w:t>
            </w:r>
          </w:p>
          <w:p w14:paraId="551A07E6" w14:textId="77777777" w:rsidR="00C56C49" w:rsidRPr="00526E70" w:rsidRDefault="00C56C49" w:rsidP="00526E70">
            <w:pPr>
              <w:pStyle w:val="ListParagraph"/>
              <w:spacing w:line="276" w:lineRule="auto"/>
              <w:ind w:left="318"/>
              <w:rPr>
                <w:rFonts w:ascii="Arial" w:eastAsiaTheme="majorEastAsia" w:hAnsi="Arial" w:cs="Arial"/>
                <w:bCs/>
                <w:color w:val="004150"/>
                <w:sz w:val="16"/>
                <w:szCs w:val="16"/>
              </w:rPr>
            </w:pPr>
          </w:p>
          <w:p w14:paraId="2EFD87E4" w14:textId="1DFA1347" w:rsidR="000C514C" w:rsidRDefault="00AB68B1" w:rsidP="00C56C49">
            <w:pPr>
              <w:pStyle w:val="ListParagraph"/>
              <w:numPr>
                <w:ilvl w:val="0"/>
                <w:numId w:val="7"/>
              </w:numPr>
              <w:spacing w:line="276" w:lineRule="auto"/>
              <w:ind w:left="318" w:hanging="284"/>
              <w:rPr>
                <w:rFonts w:ascii="Arial" w:eastAsiaTheme="majorEastAsia" w:hAnsi="Arial" w:cs="Arial"/>
                <w:bCs/>
                <w:color w:val="004150"/>
                <w:sz w:val="20"/>
                <w:szCs w:val="20"/>
              </w:rPr>
            </w:pPr>
            <w:r>
              <w:rPr>
                <w:rFonts w:ascii="Arial" w:eastAsiaTheme="majorEastAsia" w:hAnsi="Arial" w:cs="Arial"/>
                <w:bCs/>
                <w:color w:val="004150"/>
                <w:sz w:val="20"/>
                <w:szCs w:val="20"/>
              </w:rPr>
              <w:t xml:space="preserve">Credit reporters are </w:t>
            </w:r>
            <w:r w:rsidRPr="00AB68B1">
              <w:rPr>
                <w:rFonts w:ascii="Arial" w:eastAsiaTheme="majorEastAsia" w:hAnsi="Arial" w:cs="Arial"/>
                <w:bCs/>
                <w:color w:val="004150"/>
                <w:sz w:val="20"/>
                <w:szCs w:val="20"/>
              </w:rPr>
              <w:t xml:space="preserve">generally </w:t>
            </w:r>
            <w:r>
              <w:rPr>
                <w:rFonts w:ascii="Arial" w:eastAsiaTheme="majorEastAsia" w:hAnsi="Arial" w:cs="Arial"/>
                <w:bCs/>
                <w:color w:val="004150"/>
                <w:sz w:val="20"/>
                <w:szCs w:val="20"/>
              </w:rPr>
              <w:t xml:space="preserve">meeting timeliness for free reports but </w:t>
            </w:r>
            <w:r w:rsidRPr="00AB68B1">
              <w:rPr>
                <w:rFonts w:ascii="Arial" w:eastAsiaTheme="majorEastAsia" w:hAnsi="Arial" w:cs="Arial"/>
                <w:bCs/>
                <w:color w:val="004150"/>
                <w:sz w:val="20"/>
                <w:szCs w:val="20"/>
              </w:rPr>
              <w:t>should be striving to provide reports as quickly as practicable.</w:t>
            </w:r>
          </w:p>
          <w:p w14:paraId="42D84C56" w14:textId="77777777" w:rsidR="00526E70" w:rsidRPr="00526E70" w:rsidRDefault="00526E70" w:rsidP="00526E70">
            <w:pPr>
              <w:pStyle w:val="ListParagraph"/>
              <w:rPr>
                <w:rFonts w:ascii="Arial" w:eastAsiaTheme="majorEastAsia" w:hAnsi="Arial" w:cs="Arial"/>
                <w:bCs/>
                <w:color w:val="004150"/>
                <w:sz w:val="16"/>
                <w:szCs w:val="16"/>
              </w:rPr>
            </w:pPr>
          </w:p>
          <w:p w14:paraId="4F52F0F2" w14:textId="4021C6D0" w:rsidR="00BA5987" w:rsidRDefault="006C08C4" w:rsidP="00C56C49">
            <w:pPr>
              <w:pStyle w:val="ListParagraph"/>
              <w:numPr>
                <w:ilvl w:val="0"/>
                <w:numId w:val="7"/>
              </w:numPr>
              <w:spacing w:line="276" w:lineRule="auto"/>
              <w:ind w:left="318" w:hanging="284"/>
              <w:rPr>
                <w:rFonts w:ascii="Arial" w:eastAsiaTheme="majorEastAsia" w:hAnsi="Arial" w:cs="Arial"/>
                <w:bCs/>
                <w:color w:val="004150"/>
                <w:sz w:val="20"/>
                <w:szCs w:val="20"/>
              </w:rPr>
            </w:pPr>
            <w:r w:rsidRPr="006C08C4">
              <w:rPr>
                <w:rFonts w:ascii="Arial" w:eastAsiaTheme="majorEastAsia" w:hAnsi="Arial" w:cs="Arial"/>
                <w:bCs/>
                <w:color w:val="004150"/>
                <w:sz w:val="20"/>
                <w:szCs w:val="20"/>
              </w:rPr>
              <w:t xml:space="preserve">Equifax and </w:t>
            </w:r>
            <w:r w:rsidR="00BA10FA">
              <w:rPr>
                <w:rFonts w:ascii="Arial" w:eastAsiaTheme="majorEastAsia" w:hAnsi="Arial" w:cs="Arial"/>
                <w:bCs/>
                <w:color w:val="004150"/>
                <w:sz w:val="20"/>
                <w:szCs w:val="20"/>
              </w:rPr>
              <w:t>i</w:t>
            </w:r>
            <w:r w:rsidRPr="006C08C4">
              <w:rPr>
                <w:rFonts w:ascii="Arial" w:eastAsiaTheme="majorEastAsia" w:hAnsi="Arial" w:cs="Arial"/>
                <w:bCs/>
                <w:color w:val="004150"/>
                <w:sz w:val="20"/>
                <w:szCs w:val="20"/>
              </w:rPr>
              <w:t xml:space="preserve">llion websites </w:t>
            </w:r>
            <w:r>
              <w:rPr>
                <w:rFonts w:ascii="Arial" w:eastAsiaTheme="majorEastAsia" w:hAnsi="Arial" w:cs="Arial"/>
                <w:bCs/>
                <w:color w:val="004150"/>
                <w:sz w:val="20"/>
                <w:szCs w:val="20"/>
              </w:rPr>
              <w:t xml:space="preserve">are difficult to navigate and </w:t>
            </w:r>
            <w:r w:rsidRPr="006C08C4">
              <w:rPr>
                <w:rFonts w:ascii="Arial" w:eastAsiaTheme="majorEastAsia" w:hAnsi="Arial" w:cs="Arial"/>
                <w:bCs/>
                <w:color w:val="004150"/>
                <w:sz w:val="20"/>
                <w:szCs w:val="20"/>
              </w:rPr>
              <w:t>need to more clearly a</w:t>
            </w:r>
            <w:r>
              <w:rPr>
                <w:rFonts w:ascii="Arial" w:eastAsiaTheme="majorEastAsia" w:hAnsi="Arial" w:cs="Arial"/>
                <w:bCs/>
                <w:color w:val="004150"/>
                <w:sz w:val="20"/>
                <w:szCs w:val="20"/>
              </w:rPr>
              <w:t>dvise</w:t>
            </w:r>
            <w:r w:rsidRPr="006C08C4">
              <w:rPr>
                <w:rFonts w:ascii="Arial" w:eastAsiaTheme="majorEastAsia" w:hAnsi="Arial" w:cs="Arial"/>
                <w:bCs/>
                <w:color w:val="004150"/>
                <w:sz w:val="20"/>
                <w:szCs w:val="20"/>
              </w:rPr>
              <w:t xml:space="preserve"> consumers </w:t>
            </w:r>
            <w:r>
              <w:rPr>
                <w:rFonts w:ascii="Arial" w:eastAsiaTheme="majorEastAsia" w:hAnsi="Arial" w:cs="Arial"/>
                <w:bCs/>
                <w:color w:val="004150"/>
                <w:sz w:val="20"/>
                <w:szCs w:val="20"/>
              </w:rPr>
              <w:t xml:space="preserve">they </w:t>
            </w:r>
            <w:r w:rsidRPr="006C08C4">
              <w:rPr>
                <w:rFonts w:ascii="Arial" w:eastAsiaTheme="majorEastAsia" w:hAnsi="Arial" w:cs="Arial"/>
                <w:bCs/>
                <w:color w:val="004150"/>
                <w:sz w:val="20"/>
                <w:szCs w:val="20"/>
              </w:rPr>
              <w:t>can request a free credit report</w:t>
            </w:r>
            <w:r w:rsidR="0041516C">
              <w:rPr>
                <w:rFonts w:ascii="Arial" w:eastAsiaTheme="majorEastAsia" w:hAnsi="Arial" w:cs="Arial"/>
                <w:bCs/>
                <w:color w:val="004150"/>
                <w:sz w:val="20"/>
                <w:szCs w:val="20"/>
              </w:rPr>
              <w:t>.</w:t>
            </w:r>
          </w:p>
          <w:p w14:paraId="1BD5B0B7" w14:textId="77777777" w:rsidR="00526E70" w:rsidRPr="00526E70" w:rsidRDefault="00526E70" w:rsidP="00526E70">
            <w:pPr>
              <w:pStyle w:val="ListParagraph"/>
              <w:rPr>
                <w:rFonts w:ascii="Arial" w:eastAsiaTheme="majorEastAsia" w:hAnsi="Arial" w:cs="Arial"/>
                <w:bCs/>
                <w:color w:val="004150"/>
                <w:sz w:val="16"/>
                <w:szCs w:val="16"/>
              </w:rPr>
            </w:pPr>
          </w:p>
          <w:p w14:paraId="3BF259D1" w14:textId="77777777" w:rsidR="000C514C" w:rsidRPr="00D173D5" w:rsidRDefault="00BA5987" w:rsidP="00C56C49">
            <w:pPr>
              <w:pStyle w:val="ListParagraph"/>
              <w:numPr>
                <w:ilvl w:val="0"/>
                <w:numId w:val="7"/>
              </w:numPr>
              <w:spacing w:line="276" w:lineRule="auto"/>
              <w:ind w:left="318" w:hanging="284"/>
              <w:rPr>
                <w:rFonts w:ascii="Arial" w:eastAsiaTheme="majorEastAsia" w:hAnsi="Arial" w:cs="Arial"/>
                <w:bCs/>
                <w:color w:val="004150"/>
                <w:sz w:val="20"/>
                <w:szCs w:val="20"/>
              </w:rPr>
            </w:pPr>
            <w:r w:rsidRPr="00BA5987">
              <w:rPr>
                <w:rFonts w:ascii="Arial" w:eastAsiaTheme="majorEastAsia" w:hAnsi="Arial" w:cs="Arial"/>
                <w:bCs/>
                <w:color w:val="004150"/>
                <w:sz w:val="20"/>
                <w:szCs w:val="20"/>
              </w:rPr>
              <w:t xml:space="preserve">Equifax’s credit reports should explain in more detail how its credit score is derived and what can affect the score.    </w:t>
            </w:r>
            <w:r w:rsidR="006C08C4" w:rsidRPr="006C08C4">
              <w:rPr>
                <w:rFonts w:ascii="Arial" w:eastAsiaTheme="majorEastAsia" w:hAnsi="Arial" w:cs="Arial"/>
                <w:bCs/>
                <w:color w:val="004150"/>
                <w:sz w:val="20"/>
                <w:szCs w:val="20"/>
              </w:rPr>
              <w:t xml:space="preserve">  </w:t>
            </w:r>
          </w:p>
          <w:p w14:paraId="5B6C81F6" w14:textId="77777777" w:rsidR="000C514C" w:rsidRPr="00D173D5" w:rsidRDefault="000C514C" w:rsidP="009426A8">
            <w:pPr>
              <w:rPr>
                <w:rFonts w:ascii="Arial" w:hAnsi="Arial" w:cs="Arial"/>
                <w:color w:val="004150"/>
                <w:sz w:val="10"/>
                <w:szCs w:val="10"/>
              </w:rPr>
            </w:pPr>
          </w:p>
        </w:tc>
      </w:tr>
    </w:tbl>
    <w:p w14:paraId="03B8F905" w14:textId="77777777" w:rsidR="00DA5514" w:rsidRPr="00135D69" w:rsidRDefault="00DA5514" w:rsidP="00625378">
      <w:pPr>
        <w:pStyle w:val="Heading1"/>
        <w:keepNext w:val="0"/>
        <w:keepLines w:val="0"/>
        <w:spacing w:before="200" w:after="120"/>
        <w:rPr>
          <w:rFonts w:ascii="Arial" w:hAnsi="Arial" w:cs="Arial"/>
          <w:color w:val="E15F55"/>
          <w:sz w:val="24"/>
          <w:szCs w:val="24"/>
        </w:rPr>
      </w:pPr>
      <w:r w:rsidRPr="00135D69">
        <w:rPr>
          <w:rFonts w:ascii="Arial" w:hAnsi="Arial" w:cs="Arial"/>
          <w:color w:val="E15F55"/>
          <w:sz w:val="24"/>
          <w:szCs w:val="24"/>
        </w:rPr>
        <w:t>Background and context</w:t>
      </w:r>
    </w:p>
    <w:p w14:paraId="6A35E2BF" w14:textId="1F87F01C" w:rsidR="00917D85" w:rsidRDefault="003F08CF" w:rsidP="00403AE8">
      <w:pPr>
        <w:jc w:val="both"/>
        <w:rPr>
          <w:rFonts w:ascii="Arial" w:hAnsi="Arial" w:cs="Arial"/>
        </w:rPr>
      </w:pPr>
      <w:r>
        <w:rPr>
          <w:rFonts w:ascii="Arial" w:hAnsi="Arial" w:cs="Arial"/>
        </w:rPr>
        <w:t>T</w:t>
      </w:r>
      <w:r w:rsidR="008252C7" w:rsidRPr="00135D69">
        <w:rPr>
          <w:rFonts w:ascii="Arial" w:hAnsi="Arial" w:cs="Arial"/>
        </w:rPr>
        <w:t>he Credit Reporting Privacy Code</w:t>
      </w:r>
      <w:r w:rsidR="00E84A84" w:rsidRPr="00135D69">
        <w:rPr>
          <w:rFonts w:ascii="Arial" w:hAnsi="Arial" w:cs="Arial"/>
        </w:rPr>
        <w:t xml:space="preserve"> </w:t>
      </w:r>
      <w:r w:rsidR="00922241" w:rsidRPr="00135D69">
        <w:rPr>
          <w:rFonts w:ascii="Arial" w:hAnsi="Arial" w:cs="Arial"/>
        </w:rPr>
        <w:t xml:space="preserve">2004 </w:t>
      </w:r>
      <w:r w:rsidR="00E84A84" w:rsidRPr="00135D69">
        <w:rPr>
          <w:rFonts w:ascii="Arial" w:hAnsi="Arial" w:cs="Arial"/>
        </w:rPr>
        <w:t>(the Code)</w:t>
      </w:r>
      <w:r w:rsidR="008252C7" w:rsidRPr="00135D69">
        <w:rPr>
          <w:rFonts w:ascii="Arial" w:hAnsi="Arial" w:cs="Arial"/>
        </w:rPr>
        <w:t xml:space="preserve"> gives people the right to </w:t>
      </w:r>
      <w:r w:rsidR="00B973CD">
        <w:rPr>
          <w:rFonts w:ascii="Arial" w:hAnsi="Arial" w:cs="Arial"/>
        </w:rPr>
        <w:t>access</w:t>
      </w:r>
      <w:r w:rsidR="008252C7" w:rsidRPr="00135D69">
        <w:rPr>
          <w:rFonts w:ascii="Arial" w:hAnsi="Arial" w:cs="Arial"/>
        </w:rPr>
        <w:t xml:space="preserve"> the reports that </w:t>
      </w:r>
      <w:r w:rsidR="009070D7" w:rsidRPr="00135D69">
        <w:rPr>
          <w:rFonts w:ascii="Arial" w:hAnsi="Arial" w:cs="Arial"/>
        </w:rPr>
        <w:t>credit reporters</w:t>
      </w:r>
      <w:r w:rsidR="008252C7" w:rsidRPr="00135D69">
        <w:rPr>
          <w:rFonts w:ascii="Arial" w:hAnsi="Arial" w:cs="Arial"/>
        </w:rPr>
        <w:t xml:space="preserve"> hold about them</w:t>
      </w:r>
      <w:r w:rsidR="00EB2219" w:rsidRPr="00135D69">
        <w:rPr>
          <w:rFonts w:ascii="Arial" w:hAnsi="Arial" w:cs="Arial"/>
        </w:rPr>
        <w:t xml:space="preserve"> </w:t>
      </w:r>
      <w:r w:rsidR="008252C7" w:rsidRPr="00135D69">
        <w:rPr>
          <w:rFonts w:ascii="Arial" w:hAnsi="Arial" w:cs="Arial"/>
        </w:rPr>
        <w:t xml:space="preserve">quickly, and to </w:t>
      </w:r>
      <w:r w:rsidR="00B973CD">
        <w:rPr>
          <w:rFonts w:ascii="Arial" w:hAnsi="Arial" w:cs="Arial"/>
        </w:rPr>
        <w:t>access</w:t>
      </w:r>
      <w:r w:rsidR="008252C7" w:rsidRPr="00135D69">
        <w:rPr>
          <w:rFonts w:ascii="Arial" w:hAnsi="Arial" w:cs="Arial"/>
        </w:rPr>
        <w:t xml:space="preserve"> it for free.</w:t>
      </w:r>
    </w:p>
    <w:p w14:paraId="3048A07D" w14:textId="3FF0CB11" w:rsidR="000A1EF3" w:rsidRDefault="00917D85" w:rsidP="00403AE8">
      <w:pPr>
        <w:jc w:val="both"/>
        <w:rPr>
          <w:rFonts w:ascii="Arial" w:hAnsi="Arial" w:cs="Arial"/>
        </w:rPr>
      </w:pPr>
      <w:r w:rsidRPr="00917D85">
        <w:rPr>
          <w:rFonts w:ascii="Arial" w:hAnsi="Arial" w:cs="Arial"/>
        </w:rPr>
        <w:t xml:space="preserve">As the information on credit reports is constantly changing, it is </w:t>
      </w:r>
      <w:r>
        <w:rPr>
          <w:rFonts w:ascii="Arial" w:hAnsi="Arial" w:cs="Arial"/>
        </w:rPr>
        <w:t xml:space="preserve">important </w:t>
      </w:r>
      <w:r w:rsidR="00DE32D5">
        <w:rPr>
          <w:rFonts w:ascii="Arial" w:hAnsi="Arial" w:cs="Arial"/>
        </w:rPr>
        <w:t xml:space="preserve">for </w:t>
      </w:r>
      <w:r w:rsidR="00EF3B14">
        <w:rPr>
          <w:rFonts w:ascii="Arial" w:hAnsi="Arial" w:cs="Arial"/>
        </w:rPr>
        <w:t>consumers</w:t>
      </w:r>
      <w:r w:rsidR="00DE32D5">
        <w:rPr>
          <w:rFonts w:ascii="Arial" w:hAnsi="Arial" w:cs="Arial"/>
        </w:rPr>
        <w:t xml:space="preserve"> to have timely </w:t>
      </w:r>
      <w:r w:rsidR="003F08CF">
        <w:rPr>
          <w:rFonts w:ascii="Arial" w:hAnsi="Arial" w:cs="Arial"/>
        </w:rPr>
        <w:t xml:space="preserve">and regular </w:t>
      </w:r>
      <w:r w:rsidR="00DE32D5">
        <w:rPr>
          <w:rFonts w:ascii="Arial" w:hAnsi="Arial" w:cs="Arial"/>
        </w:rPr>
        <w:t xml:space="preserve">access to </w:t>
      </w:r>
      <w:r w:rsidR="00D639C1">
        <w:rPr>
          <w:rFonts w:ascii="Arial" w:hAnsi="Arial" w:cs="Arial"/>
        </w:rPr>
        <w:t xml:space="preserve">credit </w:t>
      </w:r>
      <w:r w:rsidR="00DE32D5">
        <w:rPr>
          <w:rFonts w:ascii="Arial" w:hAnsi="Arial" w:cs="Arial"/>
        </w:rPr>
        <w:t>information to check that it is accurate</w:t>
      </w:r>
      <w:r w:rsidRPr="00917D85">
        <w:rPr>
          <w:rFonts w:ascii="Arial" w:hAnsi="Arial" w:cs="Arial"/>
        </w:rPr>
        <w:t>.</w:t>
      </w:r>
      <w:r>
        <w:rPr>
          <w:rFonts w:ascii="Arial" w:hAnsi="Arial" w:cs="Arial"/>
        </w:rPr>
        <w:t xml:space="preserve"> </w:t>
      </w:r>
      <w:r w:rsidRPr="00917D85">
        <w:rPr>
          <w:rFonts w:ascii="Arial" w:hAnsi="Arial" w:cs="Arial"/>
        </w:rPr>
        <w:t xml:space="preserve">It can be particularly useful </w:t>
      </w:r>
      <w:r>
        <w:rPr>
          <w:rFonts w:ascii="Arial" w:hAnsi="Arial" w:cs="Arial"/>
        </w:rPr>
        <w:t xml:space="preserve">for </w:t>
      </w:r>
      <w:r w:rsidR="00EF3B14">
        <w:rPr>
          <w:rFonts w:ascii="Arial" w:hAnsi="Arial" w:cs="Arial"/>
        </w:rPr>
        <w:t>consumers</w:t>
      </w:r>
      <w:r>
        <w:rPr>
          <w:rFonts w:ascii="Arial" w:hAnsi="Arial" w:cs="Arial"/>
        </w:rPr>
        <w:t xml:space="preserve"> to check their credit information before</w:t>
      </w:r>
      <w:r w:rsidRPr="00917D85">
        <w:rPr>
          <w:rFonts w:ascii="Arial" w:hAnsi="Arial" w:cs="Arial"/>
        </w:rPr>
        <w:t xml:space="preserve"> seeking credit</w:t>
      </w:r>
      <w:r>
        <w:rPr>
          <w:rFonts w:ascii="Arial" w:hAnsi="Arial" w:cs="Arial"/>
        </w:rPr>
        <w:t xml:space="preserve"> to ensure it is accurate and to ask for the credit </w:t>
      </w:r>
      <w:r w:rsidRPr="00917D85">
        <w:rPr>
          <w:rFonts w:ascii="Arial" w:hAnsi="Arial" w:cs="Arial"/>
        </w:rPr>
        <w:t>reporter to correct any errors</w:t>
      </w:r>
      <w:r>
        <w:rPr>
          <w:rFonts w:ascii="Arial" w:hAnsi="Arial" w:cs="Arial"/>
        </w:rPr>
        <w:t>.</w:t>
      </w:r>
      <w:r w:rsidR="00DE32D5">
        <w:rPr>
          <w:rFonts w:ascii="Arial" w:hAnsi="Arial" w:cs="Arial"/>
        </w:rPr>
        <w:t xml:space="preserve"> </w:t>
      </w:r>
    </w:p>
    <w:p w14:paraId="6D41B2D9" w14:textId="097C333A" w:rsidR="00917D85" w:rsidRDefault="00917D85" w:rsidP="00403AE8">
      <w:pPr>
        <w:jc w:val="both"/>
        <w:rPr>
          <w:rFonts w:ascii="Arial" w:hAnsi="Arial" w:cs="Arial"/>
        </w:rPr>
      </w:pPr>
      <w:r>
        <w:rPr>
          <w:rFonts w:ascii="Arial" w:hAnsi="Arial" w:cs="Arial"/>
        </w:rPr>
        <w:t>Identity fraud is an increasing problem for</w:t>
      </w:r>
      <w:r w:rsidR="00DE32D5">
        <w:rPr>
          <w:rFonts w:ascii="Arial" w:hAnsi="Arial" w:cs="Arial"/>
        </w:rPr>
        <w:t xml:space="preserve"> </w:t>
      </w:r>
      <w:r w:rsidR="00EF3B14">
        <w:rPr>
          <w:rFonts w:ascii="Arial" w:hAnsi="Arial" w:cs="Arial"/>
        </w:rPr>
        <w:t>consumers</w:t>
      </w:r>
      <w:r>
        <w:rPr>
          <w:rFonts w:ascii="Arial" w:hAnsi="Arial" w:cs="Arial"/>
        </w:rPr>
        <w:t xml:space="preserve">. Checking </w:t>
      </w:r>
      <w:r w:rsidR="00DE32D5">
        <w:rPr>
          <w:rFonts w:ascii="Arial" w:hAnsi="Arial" w:cs="Arial"/>
        </w:rPr>
        <w:t>credit report</w:t>
      </w:r>
      <w:r w:rsidR="003F08CF">
        <w:rPr>
          <w:rFonts w:ascii="Arial" w:hAnsi="Arial" w:cs="Arial"/>
        </w:rPr>
        <w:t>s</w:t>
      </w:r>
      <w:r w:rsidR="00DE32D5">
        <w:rPr>
          <w:rFonts w:ascii="Arial" w:hAnsi="Arial" w:cs="Arial"/>
        </w:rPr>
        <w:t xml:space="preserve"> can help identify </w:t>
      </w:r>
      <w:r w:rsidR="003F08CF">
        <w:rPr>
          <w:rFonts w:ascii="Arial" w:hAnsi="Arial" w:cs="Arial"/>
        </w:rPr>
        <w:t>i</w:t>
      </w:r>
      <w:r w:rsidR="00DE32D5">
        <w:rPr>
          <w:rFonts w:ascii="Arial" w:hAnsi="Arial" w:cs="Arial"/>
        </w:rPr>
        <w:t>dentity theft</w:t>
      </w:r>
      <w:r w:rsidR="00915B44">
        <w:rPr>
          <w:rFonts w:ascii="Arial" w:hAnsi="Arial" w:cs="Arial"/>
        </w:rPr>
        <w:t xml:space="preserve">, such as </w:t>
      </w:r>
      <w:r w:rsidRPr="00917D85">
        <w:rPr>
          <w:rFonts w:ascii="Arial" w:hAnsi="Arial" w:cs="Arial"/>
        </w:rPr>
        <w:t xml:space="preserve">credit accounts never applied for, </w:t>
      </w:r>
      <w:r w:rsidR="00915B44">
        <w:rPr>
          <w:rFonts w:ascii="Arial" w:hAnsi="Arial" w:cs="Arial"/>
        </w:rPr>
        <w:t xml:space="preserve">unknown credit </w:t>
      </w:r>
      <w:r w:rsidRPr="00917D85">
        <w:rPr>
          <w:rFonts w:ascii="Arial" w:hAnsi="Arial" w:cs="Arial"/>
        </w:rPr>
        <w:t xml:space="preserve">defaults or </w:t>
      </w:r>
      <w:r w:rsidR="00915B44">
        <w:rPr>
          <w:rFonts w:ascii="Arial" w:hAnsi="Arial" w:cs="Arial"/>
        </w:rPr>
        <w:t xml:space="preserve">unauthorised </w:t>
      </w:r>
      <w:r w:rsidRPr="00917D85">
        <w:rPr>
          <w:rFonts w:ascii="Arial" w:hAnsi="Arial" w:cs="Arial"/>
        </w:rPr>
        <w:t>credit enquiries</w:t>
      </w:r>
      <w:r w:rsidR="00DE32D5">
        <w:rPr>
          <w:rFonts w:ascii="Arial" w:hAnsi="Arial" w:cs="Arial"/>
        </w:rPr>
        <w:t xml:space="preserve">. In those instances, </w:t>
      </w:r>
      <w:r w:rsidR="00EF3B14">
        <w:rPr>
          <w:rFonts w:ascii="Arial" w:hAnsi="Arial" w:cs="Arial"/>
        </w:rPr>
        <w:t>consumers</w:t>
      </w:r>
      <w:r w:rsidR="00DE32D5">
        <w:rPr>
          <w:rFonts w:ascii="Arial" w:hAnsi="Arial" w:cs="Arial"/>
        </w:rPr>
        <w:t xml:space="preserve"> can </w:t>
      </w:r>
      <w:r w:rsidRPr="00917D85">
        <w:rPr>
          <w:rFonts w:ascii="Arial" w:hAnsi="Arial" w:cs="Arial"/>
        </w:rPr>
        <w:t xml:space="preserve">ask the credit reporter to </w:t>
      </w:r>
      <w:r w:rsidR="003F4368">
        <w:rPr>
          <w:rFonts w:ascii="Arial" w:hAnsi="Arial" w:cs="Arial"/>
        </w:rPr>
        <w:t>suppress (</w:t>
      </w:r>
      <w:r w:rsidRPr="00917D85">
        <w:rPr>
          <w:rFonts w:ascii="Arial" w:hAnsi="Arial" w:cs="Arial"/>
        </w:rPr>
        <w:t>'freeze'</w:t>
      </w:r>
      <w:r w:rsidR="003F4368">
        <w:rPr>
          <w:rFonts w:ascii="Arial" w:hAnsi="Arial" w:cs="Arial"/>
        </w:rPr>
        <w:t>)</w:t>
      </w:r>
      <w:r w:rsidRPr="00917D85">
        <w:rPr>
          <w:rFonts w:ascii="Arial" w:hAnsi="Arial" w:cs="Arial"/>
        </w:rPr>
        <w:t xml:space="preserve"> </w:t>
      </w:r>
      <w:r w:rsidR="00DE32D5">
        <w:rPr>
          <w:rFonts w:ascii="Arial" w:hAnsi="Arial" w:cs="Arial"/>
        </w:rPr>
        <w:t>their</w:t>
      </w:r>
      <w:r w:rsidRPr="00917D85">
        <w:rPr>
          <w:rFonts w:ascii="Arial" w:hAnsi="Arial" w:cs="Arial"/>
        </w:rPr>
        <w:t xml:space="preserve"> credit information.</w:t>
      </w:r>
    </w:p>
    <w:p w14:paraId="0C772E10" w14:textId="77777777" w:rsidR="009070D7" w:rsidRPr="00135D69" w:rsidRDefault="0082266A" w:rsidP="00403AE8">
      <w:pPr>
        <w:jc w:val="both"/>
        <w:rPr>
          <w:rFonts w:ascii="Arial" w:hAnsi="Arial" w:cs="Arial"/>
        </w:rPr>
      </w:pPr>
      <w:r w:rsidRPr="00135D69">
        <w:rPr>
          <w:rFonts w:ascii="Arial" w:hAnsi="Arial" w:cs="Arial"/>
        </w:rPr>
        <w:t>The Code allow</w:t>
      </w:r>
      <w:r w:rsidR="002226F4">
        <w:rPr>
          <w:rFonts w:ascii="Arial" w:hAnsi="Arial" w:cs="Arial"/>
        </w:rPr>
        <w:t>s</w:t>
      </w:r>
      <w:r w:rsidRPr="00135D69">
        <w:rPr>
          <w:rFonts w:ascii="Arial" w:hAnsi="Arial" w:cs="Arial"/>
        </w:rPr>
        <w:t xml:space="preserve"> </w:t>
      </w:r>
      <w:r w:rsidR="009070D7" w:rsidRPr="00135D69">
        <w:rPr>
          <w:rFonts w:ascii="Arial" w:hAnsi="Arial" w:cs="Arial"/>
        </w:rPr>
        <w:t>credit reporters</w:t>
      </w:r>
      <w:r w:rsidRPr="00135D69">
        <w:rPr>
          <w:rFonts w:ascii="Arial" w:hAnsi="Arial" w:cs="Arial"/>
        </w:rPr>
        <w:t xml:space="preserve"> to charge up to $10 for an expedited report </w:t>
      </w:r>
      <w:r w:rsidR="001B519F" w:rsidRPr="00135D69">
        <w:rPr>
          <w:rFonts w:ascii="Arial" w:hAnsi="Arial" w:cs="Arial"/>
        </w:rPr>
        <w:t>within</w:t>
      </w:r>
      <w:r w:rsidRPr="00135D69">
        <w:rPr>
          <w:rFonts w:ascii="Arial" w:hAnsi="Arial" w:cs="Arial"/>
        </w:rPr>
        <w:t xml:space="preserve"> </w:t>
      </w:r>
      <w:r w:rsidR="00A01C61" w:rsidRPr="00135D69">
        <w:rPr>
          <w:rFonts w:ascii="Arial" w:hAnsi="Arial" w:cs="Arial"/>
        </w:rPr>
        <w:t>5</w:t>
      </w:r>
      <w:r w:rsidRPr="00135D69">
        <w:rPr>
          <w:rFonts w:ascii="Arial" w:hAnsi="Arial" w:cs="Arial"/>
        </w:rPr>
        <w:t xml:space="preserve"> </w:t>
      </w:r>
      <w:r w:rsidR="001B519F" w:rsidRPr="00135D69">
        <w:rPr>
          <w:rFonts w:ascii="Arial" w:hAnsi="Arial" w:cs="Arial"/>
        </w:rPr>
        <w:t xml:space="preserve">working </w:t>
      </w:r>
      <w:r w:rsidRPr="00135D69">
        <w:rPr>
          <w:rFonts w:ascii="Arial" w:hAnsi="Arial" w:cs="Arial"/>
        </w:rPr>
        <w:t xml:space="preserve">days but it also requires </w:t>
      </w:r>
      <w:r w:rsidR="00CD0295" w:rsidRPr="00135D69">
        <w:rPr>
          <w:rFonts w:ascii="Arial" w:hAnsi="Arial" w:cs="Arial"/>
        </w:rPr>
        <w:t>credit reporters</w:t>
      </w:r>
      <w:r w:rsidRPr="00135D69">
        <w:rPr>
          <w:rFonts w:ascii="Arial" w:hAnsi="Arial" w:cs="Arial"/>
        </w:rPr>
        <w:t xml:space="preserve"> to provide credit reports for free as quickly as practicable. </w:t>
      </w:r>
    </w:p>
    <w:p w14:paraId="532EDFC6" w14:textId="60259305" w:rsidR="00AC04B9" w:rsidRPr="00135D69" w:rsidRDefault="009070D7" w:rsidP="00403AE8">
      <w:pPr>
        <w:jc w:val="both"/>
        <w:rPr>
          <w:rFonts w:ascii="Arial" w:hAnsi="Arial" w:cs="Arial"/>
        </w:rPr>
      </w:pPr>
      <w:r w:rsidRPr="00135D69">
        <w:rPr>
          <w:rFonts w:ascii="Arial" w:hAnsi="Arial" w:cs="Arial"/>
        </w:rPr>
        <w:t>The spot check tested whether credit reporters complied with access rules and limits on charging</w:t>
      </w:r>
      <w:r w:rsidR="00AD0320">
        <w:rPr>
          <w:rFonts w:ascii="Arial" w:hAnsi="Arial" w:cs="Arial"/>
        </w:rPr>
        <w:t xml:space="preserve"> as at 30 March 2019</w:t>
      </w:r>
      <w:r w:rsidR="000369EE">
        <w:rPr>
          <w:rFonts w:ascii="Arial" w:hAnsi="Arial" w:cs="Arial"/>
        </w:rPr>
        <w:t xml:space="preserve">. </w:t>
      </w:r>
      <w:r w:rsidR="00FF1731">
        <w:rPr>
          <w:rFonts w:ascii="Arial" w:hAnsi="Arial" w:cs="Arial"/>
        </w:rPr>
        <w:t xml:space="preserve">From 1 July 2019, </w:t>
      </w:r>
      <w:r w:rsidR="001A4D3C">
        <w:rPr>
          <w:rFonts w:ascii="Arial" w:hAnsi="Arial" w:cs="Arial"/>
        </w:rPr>
        <w:t xml:space="preserve">credit reporters must provide free </w:t>
      </w:r>
      <w:r w:rsidR="00FF1731" w:rsidRPr="00FF1731">
        <w:rPr>
          <w:rFonts w:ascii="Arial" w:hAnsi="Arial" w:cs="Arial"/>
        </w:rPr>
        <w:t xml:space="preserve">credit </w:t>
      </w:r>
      <w:r w:rsidR="001A4D3C">
        <w:rPr>
          <w:rFonts w:ascii="Arial" w:hAnsi="Arial" w:cs="Arial"/>
        </w:rPr>
        <w:t>reports</w:t>
      </w:r>
      <w:r w:rsidR="00FF1731">
        <w:rPr>
          <w:rFonts w:ascii="Arial" w:hAnsi="Arial" w:cs="Arial"/>
        </w:rPr>
        <w:t xml:space="preserve"> </w:t>
      </w:r>
      <w:r w:rsidR="001A4D3C">
        <w:rPr>
          <w:rFonts w:ascii="Arial" w:hAnsi="Arial" w:cs="Arial"/>
        </w:rPr>
        <w:t>within 10 working days (</w:t>
      </w:r>
      <w:r w:rsidR="00C56C49">
        <w:rPr>
          <w:rFonts w:ascii="Arial" w:hAnsi="Arial" w:cs="Arial"/>
        </w:rPr>
        <w:t>currently</w:t>
      </w:r>
      <w:r w:rsidR="00436F7B">
        <w:rPr>
          <w:rFonts w:ascii="Arial" w:hAnsi="Arial" w:cs="Arial"/>
        </w:rPr>
        <w:t xml:space="preserve"> </w:t>
      </w:r>
      <w:r w:rsidR="001A4D3C">
        <w:rPr>
          <w:rFonts w:ascii="Arial" w:hAnsi="Arial" w:cs="Arial"/>
        </w:rPr>
        <w:t>20</w:t>
      </w:r>
      <w:r w:rsidR="00436F7B">
        <w:rPr>
          <w:rFonts w:ascii="Arial" w:hAnsi="Arial" w:cs="Arial"/>
        </w:rPr>
        <w:t xml:space="preserve"> working days</w:t>
      </w:r>
      <w:r w:rsidR="001A4D3C">
        <w:rPr>
          <w:rFonts w:ascii="Arial" w:hAnsi="Arial" w:cs="Arial"/>
        </w:rPr>
        <w:t>), and expedited reports</w:t>
      </w:r>
      <w:r w:rsidR="00C56C49">
        <w:rPr>
          <w:rFonts w:ascii="Arial" w:hAnsi="Arial" w:cs="Arial"/>
        </w:rPr>
        <w:t xml:space="preserve"> </w:t>
      </w:r>
      <w:r w:rsidR="001A4D3C">
        <w:rPr>
          <w:rFonts w:ascii="Arial" w:hAnsi="Arial" w:cs="Arial"/>
        </w:rPr>
        <w:t>within 3 working days (</w:t>
      </w:r>
      <w:r w:rsidR="00C56C49">
        <w:rPr>
          <w:rFonts w:ascii="Arial" w:hAnsi="Arial" w:cs="Arial"/>
        </w:rPr>
        <w:t>currently</w:t>
      </w:r>
      <w:r w:rsidR="00436F7B">
        <w:rPr>
          <w:rFonts w:ascii="Arial" w:hAnsi="Arial" w:cs="Arial"/>
        </w:rPr>
        <w:t xml:space="preserve"> </w:t>
      </w:r>
      <w:r w:rsidR="00A555A9">
        <w:rPr>
          <w:rFonts w:ascii="Arial" w:hAnsi="Arial" w:cs="Arial"/>
        </w:rPr>
        <w:t>5</w:t>
      </w:r>
      <w:r w:rsidR="00436F7B">
        <w:rPr>
          <w:rFonts w:ascii="Arial" w:hAnsi="Arial" w:cs="Arial"/>
        </w:rPr>
        <w:t xml:space="preserve"> working days</w:t>
      </w:r>
      <w:r w:rsidR="001A4D3C">
        <w:rPr>
          <w:rFonts w:ascii="Arial" w:hAnsi="Arial" w:cs="Arial"/>
        </w:rPr>
        <w:t>).</w:t>
      </w:r>
    </w:p>
    <w:p w14:paraId="2F9C04A8" w14:textId="40F35847" w:rsidR="00E5449F" w:rsidRPr="00135D69" w:rsidRDefault="00E5449F" w:rsidP="00C15C90">
      <w:pPr>
        <w:spacing w:before="120" w:after="120"/>
        <w:outlineLvl w:val="0"/>
        <w:rPr>
          <w:rFonts w:ascii="Arial" w:hAnsi="Arial" w:cs="Arial"/>
          <w:b/>
          <w:color w:val="E15F55"/>
          <w:sz w:val="24"/>
          <w:szCs w:val="24"/>
        </w:rPr>
      </w:pPr>
      <w:bookmarkStart w:id="2" w:name="_Hlk2879756"/>
      <w:r w:rsidRPr="00135D69">
        <w:rPr>
          <w:rFonts w:ascii="Arial" w:hAnsi="Arial" w:cs="Arial"/>
          <w:b/>
          <w:color w:val="E15F55"/>
          <w:sz w:val="24"/>
          <w:szCs w:val="24"/>
        </w:rPr>
        <w:lastRenderedPageBreak/>
        <w:t>Methodology</w:t>
      </w:r>
    </w:p>
    <w:bookmarkEnd w:id="2"/>
    <w:p w14:paraId="0F6B654B" w14:textId="558BA8F9" w:rsidR="00E959AE" w:rsidRDefault="00296BA0" w:rsidP="00403AE8">
      <w:pPr>
        <w:jc w:val="both"/>
        <w:rPr>
          <w:rFonts w:ascii="Arial" w:hAnsi="Arial" w:cs="Arial"/>
        </w:rPr>
      </w:pPr>
      <w:r w:rsidRPr="00135D69">
        <w:rPr>
          <w:rFonts w:ascii="Arial" w:hAnsi="Arial" w:cs="Arial"/>
        </w:rPr>
        <w:t xml:space="preserve">We collected </w:t>
      </w:r>
      <w:r w:rsidR="00E5449F" w:rsidRPr="00135D69">
        <w:rPr>
          <w:rFonts w:ascii="Arial" w:hAnsi="Arial" w:cs="Arial"/>
        </w:rPr>
        <w:t xml:space="preserve">data </w:t>
      </w:r>
      <w:r w:rsidR="00EB2219" w:rsidRPr="00135D69">
        <w:rPr>
          <w:rFonts w:ascii="Arial" w:hAnsi="Arial" w:cs="Arial"/>
        </w:rPr>
        <w:t xml:space="preserve">contained in this report </w:t>
      </w:r>
      <w:r w:rsidR="00195DCC" w:rsidRPr="00135D69">
        <w:rPr>
          <w:rFonts w:ascii="Arial" w:hAnsi="Arial" w:cs="Arial"/>
        </w:rPr>
        <w:t>through a contractor</w:t>
      </w:r>
      <w:r w:rsidRPr="00135D69">
        <w:rPr>
          <w:rFonts w:ascii="Arial" w:hAnsi="Arial" w:cs="Arial"/>
        </w:rPr>
        <w:t xml:space="preserve"> who recruited </w:t>
      </w:r>
      <w:r w:rsidR="002226F4">
        <w:rPr>
          <w:rFonts w:ascii="Arial" w:hAnsi="Arial" w:cs="Arial"/>
        </w:rPr>
        <w:t xml:space="preserve">30 </w:t>
      </w:r>
      <w:r w:rsidRPr="00135D69">
        <w:rPr>
          <w:rFonts w:ascii="Arial" w:hAnsi="Arial" w:cs="Arial"/>
        </w:rPr>
        <w:t>p</w:t>
      </w:r>
      <w:r w:rsidR="00FC4F9B">
        <w:rPr>
          <w:rFonts w:ascii="Arial" w:hAnsi="Arial" w:cs="Arial"/>
        </w:rPr>
        <w:t>articipants</w:t>
      </w:r>
      <w:r w:rsidR="00195DCC" w:rsidRPr="00135D69">
        <w:rPr>
          <w:rFonts w:ascii="Arial" w:hAnsi="Arial" w:cs="Arial"/>
        </w:rPr>
        <w:t xml:space="preserve"> </w:t>
      </w:r>
      <w:r w:rsidR="00F92370" w:rsidRPr="00135D69">
        <w:rPr>
          <w:rFonts w:ascii="Arial" w:hAnsi="Arial" w:cs="Arial"/>
        </w:rPr>
        <w:t xml:space="preserve">to request their own credit reports from each of the three </w:t>
      </w:r>
      <w:r w:rsidR="00195DCC" w:rsidRPr="00135D69">
        <w:rPr>
          <w:rFonts w:ascii="Arial" w:hAnsi="Arial" w:cs="Arial"/>
        </w:rPr>
        <w:t>national</w:t>
      </w:r>
      <w:r w:rsidR="009C7C4A" w:rsidRPr="00135D69">
        <w:rPr>
          <w:rFonts w:ascii="Arial" w:hAnsi="Arial" w:cs="Arial"/>
        </w:rPr>
        <w:t xml:space="preserve"> </w:t>
      </w:r>
      <w:r w:rsidR="00BA4F65" w:rsidRPr="00135D69">
        <w:rPr>
          <w:rFonts w:ascii="Arial" w:hAnsi="Arial" w:cs="Arial"/>
        </w:rPr>
        <w:t xml:space="preserve">consumer </w:t>
      </w:r>
      <w:r w:rsidR="009C7C4A" w:rsidRPr="00135D69">
        <w:rPr>
          <w:rFonts w:ascii="Arial" w:hAnsi="Arial" w:cs="Arial"/>
        </w:rPr>
        <w:t>credit</w:t>
      </w:r>
      <w:r w:rsidR="00F92370" w:rsidRPr="00135D69">
        <w:rPr>
          <w:rFonts w:ascii="Arial" w:hAnsi="Arial" w:cs="Arial"/>
        </w:rPr>
        <w:t xml:space="preserve"> </w:t>
      </w:r>
      <w:r w:rsidR="00195DCC" w:rsidRPr="00135D69">
        <w:rPr>
          <w:rFonts w:ascii="Arial" w:hAnsi="Arial" w:cs="Arial"/>
        </w:rPr>
        <w:t>reporters</w:t>
      </w:r>
      <w:r w:rsidR="00F92370" w:rsidRPr="00135D69">
        <w:rPr>
          <w:rFonts w:ascii="Arial" w:hAnsi="Arial" w:cs="Arial"/>
        </w:rPr>
        <w:t xml:space="preserve"> </w:t>
      </w:r>
      <w:r w:rsidR="00CE5635" w:rsidRPr="00135D69">
        <w:rPr>
          <w:rFonts w:ascii="Arial" w:hAnsi="Arial" w:cs="Arial"/>
        </w:rPr>
        <w:t>–</w:t>
      </w:r>
      <w:r w:rsidR="009C7C4A" w:rsidRPr="00135D69">
        <w:rPr>
          <w:rFonts w:ascii="Arial" w:hAnsi="Arial" w:cs="Arial"/>
        </w:rPr>
        <w:t xml:space="preserve"> Centrix</w:t>
      </w:r>
      <w:r w:rsidR="00F92370" w:rsidRPr="00135D69">
        <w:rPr>
          <w:rFonts w:ascii="Arial" w:hAnsi="Arial" w:cs="Arial"/>
        </w:rPr>
        <w:t xml:space="preserve">, </w:t>
      </w:r>
      <w:r w:rsidR="003A73D6">
        <w:rPr>
          <w:rFonts w:ascii="Arial" w:hAnsi="Arial" w:cs="Arial"/>
        </w:rPr>
        <w:t xml:space="preserve">Equifax and </w:t>
      </w:r>
      <w:r w:rsidR="00BA10FA">
        <w:rPr>
          <w:rFonts w:ascii="Arial" w:hAnsi="Arial" w:cs="Arial"/>
        </w:rPr>
        <w:t>i</w:t>
      </w:r>
      <w:r w:rsidR="003A73D6">
        <w:rPr>
          <w:rFonts w:ascii="Arial" w:hAnsi="Arial" w:cs="Arial"/>
        </w:rPr>
        <w:t>llion</w:t>
      </w:r>
      <w:r w:rsidR="00F92370" w:rsidRPr="00135D69">
        <w:rPr>
          <w:rFonts w:ascii="Arial" w:hAnsi="Arial" w:cs="Arial"/>
        </w:rPr>
        <w:t>.</w:t>
      </w:r>
    </w:p>
    <w:p w14:paraId="2619B3EE" w14:textId="0F392F6B" w:rsidR="00CC4AD3" w:rsidRPr="00135D69" w:rsidRDefault="00F92370" w:rsidP="00403AE8">
      <w:pPr>
        <w:jc w:val="both"/>
        <w:rPr>
          <w:rFonts w:ascii="Arial" w:hAnsi="Arial" w:cs="Arial"/>
        </w:rPr>
      </w:pPr>
      <w:r w:rsidRPr="00135D69">
        <w:rPr>
          <w:rFonts w:ascii="Arial" w:hAnsi="Arial" w:cs="Arial"/>
        </w:rPr>
        <w:t>Each p</w:t>
      </w:r>
      <w:r w:rsidR="003E28E8">
        <w:rPr>
          <w:rFonts w:ascii="Arial" w:hAnsi="Arial" w:cs="Arial"/>
        </w:rPr>
        <w:t>articipant</w:t>
      </w:r>
      <w:r w:rsidRPr="00135D69">
        <w:rPr>
          <w:rFonts w:ascii="Arial" w:hAnsi="Arial" w:cs="Arial"/>
        </w:rPr>
        <w:t xml:space="preserve"> </w:t>
      </w:r>
      <w:r w:rsidR="00115E94">
        <w:rPr>
          <w:rFonts w:ascii="Arial" w:hAnsi="Arial" w:cs="Arial"/>
        </w:rPr>
        <w:t xml:space="preserve">provided an anonymised copy of their report </w:t>
      </w:r>
      <w:r w:rsidR="002226F4">
        <w:rPr>
          <w:rFonts w:ascii="Arial" w:hAnsi="Arial" w:cs="Arial"/>
        </w:rPr>
        <w:t>and completed</w:t>
      </w:r>
      <w:r w:rsidR="00115E94">
        <w:rPr>
          <w:rFonts w:ascii="Arial" w:hAnsi="Arial" w:cs="Arial"/>
        </w:rPr>
        <w:t xml:space="preserve"> a feedback questionnaire</w:t>
      </w:r>
      <w:r w:rsidR="002226F4">
        <w:rPr>
          <w:rFonts w:ascii="Arial" w:hAnsi="Arial" w:cs="Arial"/>
        </w:rPr>
        <w:t>. The questionnaire recorded</w:t>
      </w:r>
      <w:r w:rsidR="00115E94">
        <w:rPr>
          <w:rFonts w:ascii="Arial" w:hAnsi="Arial" w:cs="Arial"/>
        </w:rPr>
        <w:t xml:space="preserve"> the dat</w:t>
      </w:r>
      <w:r w:rsidR="00337A07">
        <w:rPr>
          <w:rFonts w:ascii="Arial" w:hAnsi="Arial" w:cs="Arial"/>
        </w:rPr>
        <w:t>e</w:t>
      </w:r>
      <w:r w:rsidR="00115E94">
        <w:rPr>
          <w:rFonts w:ascii="Arial" w:hAnsi="Arial" w:cs="Arial"/>
        </w:rPr>
        <w:t xml:space="preserve"> that reports were requested and received, </w:t>
      </w:r>
      <w:r w:rsidR="002226F4">
        <w:rPr>
          <w:rFonts w:ascii="Arial" w:hAnsi="Arial" w:cs="Arial"/>
        </w:rPr>
        <w:t xml:space="preserve">and </w:t>
      </w:r>
      <w:r w:rsidR="00115E94">
        <w:rPr>
          <w:rFonts w:ascii="Arial" w:hAnsi="Arial" w:cs="Arial"/>
        </w:rPr>
        <w:t xml:space="preserve">whether it was clear </w:t>
      </w:r>
      <w:r w:rsidR="002226F4">
        <w:rPr>
          <w:rFonts w:ascii="Arial" w:hAnsi="Arial" w:cs="Arial"/>
        </w:rPr>
        <w:t xml:space="preserve">that </w:t>
      </w:r>
      <w:r w:rsidR="00115E94">
        <w:rPr>
          <w:rFonts w:ascii="Arial" w:hAnsi="Arial" w:cs="Arial"/>
        </w:rPr>
        <w:t>access to a free standard report</w:t>
      </w:r>
      <w:r w:rsidR="00337A07">
        <w:rPr>
          <w:rFonts w:ascii="Arial" w:hAnsi="Arial" w:cs="Arial"/>
        </w:rPr>
        <w:t xml:space="preserve"> </w:t>
      </w:r>
      <w:r w:rsidR="002226F4">
        <w:rPr>
          <w:rFonts w:ascii="Arial" w:hAnsi="Arial" w:cs="Arial"/>
        </w:rPr>
        <w:t xml:space="preserve">was available. We also </w:t>
      </w:r>
      <w:r w:rsidR="00337A07">
        <w:rPr>
          <w:rFonts w:ascii="Arial" w:hAnsi="Arial" w:cs="Arial"/>
        </w:rPr>
        <w:t xml:space="preserve">sought comments </w:t>
      </w:r>
      <w:r w:rsidR="002226F4">
        <w:rPr>
          <w:rFonts w:ascii="Arial" w:hAnsi="Arial" w:cs="Arial"/>
        </w:rPr>
        <w:t xml:space="preserve">from the participant about </w:t>
      </w:r>
      <w:r w:rsidR="00337A07">
        <w:rPr>
          <w:rFonts w:ascii="Arial" w:hAnsi="Arial" w:cs="Arial"/>
        </w:rPr>
        <w:t xml:space="preserve">the process </w:t>
      </w:r>
      <w:r w:rsidR="000A1EF3">
        <w:rPr>
          <w:rFonts w:ascii="Arial" w:hAnsi="Arial" w:cs="Arial"/>
        </w:rPr>
        <w:t>to</w:t>
      </w:r>
      <w:r w:rsidR="00337A07">
        <w:rPr>
          <w:rFonts w:ascii="Arial" w:hAnsi="Arial" w:cs="Arial"/>
        </w:rPr>
        <w:t xml:space="preserve"> acces</w:t>
      </w:r>
      <w:r w:rsidR="000A1EF3">
        <w:rPr>
          <w:rFonts w:ascii="Arial" w:hAnsi="Arial" w:cs="Arial"/>
        </w:rPr>
        <w:t>s</w:t>
      </w:r>
      <w:r w:rsidR="00337A07">
        <w:rPr>
          <w:rFonts w:ascii="Arial" w:hAnsi="Arial" w:cs="Arial"/>
        </w:rPr>
        <w:t xml:space="preserve"> their credit information.</w:t>
      </w:r>
      <w:r w:rsidRPr="00135D69">
        <w:rPr>
          <w:rFonts w:ascii="Arial" w:hAnsi="Arial" w:cs="Arial"/>
        </w:rPr>
        <w:t xml:space="preserve"> </w:t>
      </w:r>
    </w:p>
    <w:p w14:paraId="43188874" w14:textId="49514C14" w:rsidR="00305512" w:rsidRPr="00050AE8" w:rsidRDefault="00E36D90" w:rsidP="00403AE8">
      <w:pPr>
        <w:jc w:val="both"/>
        <w:rPr>
          <w:rFonts w:ascii="Arial" w:hAnsi="Arial" w:cs="Arial"/>
          <w:b/>
        </w:rPr>
      </w:pPr>
      <w:r w:rsidRPr="00135D69">
        <w:rPr>
          <w:rFonts w:ascii="Arial" w:hAnsi="Arial" w:cs="Arial"/>
        </w:rPr>
        <w:t xml:space="preserve">Each </w:t>
      </w:r>
      <w:r w:rsidR="00195DCC" w:rsidRPr="00135D69">
        <w:rPr>
          <w:rFonts w:ascii="Arial" w:hAnsi="Arial" w:cs="Arial"/>
        </w:rPr>
        <w:t>p</w:t>
      </w:r>
      <w:r w:rsidR="003E28E8">
        <w:rPr>
          <w:rFonts w:ascii="Arial" w:hAnsi="Arial" w:cs="Arial"/>
        </w:rPr>
        <w:t>articipant</w:t>
      </w:r>
      <w:r w:rsidRPr="00135D69">
        <w:rPr>
          <w:rFonts w:ascii="Arial" w:hAnsi="Arial" w:cs="Arial"/>
        </w:rPr>
        <w:t xml:space="preserve"> was instructed to </w:t>
      </w:r>
      <w:r w:rsidR="00305512" w:rsidRPr="00135D69">
        <w:rPr>
          <w:rFonts w:ascii="Arial" w:hAnsi="Arial" w:cs="Arial"/>
        </w:rPr>
        <w:t>request their credit information</w:t>
      </w:r>
      <w:r w:rsidRPr="00135D69">
        <w:rPr>
          <w:rFonts w:ascii="Arial" w:hAnsi="Arial" w:cs="Arial"/>
        </w:rPr>
        <w:t xml:space="preserve"> </w:t>
      </w:r>
      <w:r w:rsidR="003E28E8">
        <w:rPr>
          <w:rFonts w:ascii="Arial" w:hAnsi="Arial" w:cs="Arial"/>
        </w:rPr>
        <w:t xml:space="preserve">using the credit reporter’s </w:t>
      </w:r>
      <w:r w:rsidR="00753D5D">
        <w:rPr>
          <w:rFonts w:ascii="Arial" w:hAnsi="Arial" w:cs="Arial"/>
        </w:rPr>
        <w:t xml:space="preserve">website. </w:t>
      </w:r>
      <w:r w:rsidR="003E28E8">
        <w:rPr>
          <w:rFonts w:ascii="Arial" w:hAnsi="Arial" w:cs="Arial"/>
        </w:rPr>
        <w:t xml:space="preserve">The only exception was for Centrix where applicants seeking an </w:t>
      </w:r>
      <w:r w:rsidR="00601359">
        <w:rPr>
          <w:rFonts w:ascii="Arial" w:hAnsi="Arial" w:cs="Arial"/>
        </w:rPr>
        <w:t xml:space="preserve">expedited </w:t>
      </w:r>
      <w:r w:rsidR="003E28E8">
        <w:rPr>
          <w:rFonts w:ascii="Arial" w:hAnsi="Arial" w:cs="Arial"/>
        </w:rPr>
        <w:t>report were required to make phone contact with the</w:t>
      </w:r>
      <w:r w:rsidR="002226F4">
        <w:rPr>
          <w:rFonts w:ascii="Arial" w:hAnsi="Arial" w:cs="Arial"/>
        </w:rPr>
        <w:t xml:space="preserve"> company in </w:t>
      </w:r>
      <w:r w:rsidR="003E28E8">
        <w:rPr>
          <w:rFonts w:ascii="Arial" w:hAnsi="Arial" w:cs="Arial"/>
        </w:rPr>
        <w:t>addition to filling in an online form.</w:t>
      </w:r>
    </w:p>
    <w:p w14:paraId="1F379F90" w14:textId="77777777" w:rsidR="006543DB" w:rsidRDefault="006543DB" w:rsidP="006543DB">
      <w:pPr>
        <w:spacing w:before="120" w:after="120"/>
        <w:outlineLvl w:val="0"/>
        <w:rPr>
          <w:rFonts w:ascii="Arial" w:hAnsi="Arial" w:cs="Arial"/>
          <w:b/>
          <w:color w:val="E15F55"/>
          <w:sz w:val="24"/>
          <w:szCs w:val="24"/>
        </w:rPr>
      </w:pPr>
      <w:r w:rsidRPr="00135D69">
        <w:rPr>
          <w:rFonts w:ascii="Arial" w:hAnsi="Arial" w:cs="Arial"/>
          <w:b/>
          <w:color w:val="E15F55"/>
          <w:sz w:val="24"/>
          <w:szCs w:val="24"/>
        </w:rPr>
        <w:t>Findings</w:t>
      </w:r>
      <w:r w:rsidR="00753D5D">
        <w:rPr>
          <w:rFonts w:ascii="Arial" w:hAnsi="Arial" w:cs="Arial"/>
          <w:b/>
          <w:color w:val="E15F55"/>
          <w:sz w:val="24"/>
          <w:szCs w:val="24"/>
        </w:rPr>
        <w:t xml:space="preserve"> -</w:t>
      </w:r>
      <w:r w:rsidR="00AF7B9A">
        <w:rPr>
          <w:rFonts w:ascii="Arial" w:hAnsi="Arial" w:cs="Arial"/>
          <w:b/>
          <w:color w:val="E15F55"/>
          <w:sz w:val="24"/>
          <w:szCs w:val="24"/>
        </w:rPr>
        <w:t xml:space="preserve"> </w:t>
      </w:r>
      <w:r w:rsidR="00753D5D">
        <w:rPr>
          <w:rFonts w:ascii="Arial" w:hAnsi="Arial" w:cs="Arial"/>
          <w:b/>
          <w:color w:val="E15F55"/>
          <w:sz w:val="24"/>
          <w:szCs w:val="24"/>
        </w:rPr>
        <w:t>Timeliness</w:t>
      </w:r>
    </w:p>
    <w:p w14:paraId="33F10D7D" w14:textId="77777777" w:rsidR="00A20502" w:rsidRDefault="00A20502" w:rsidP="00A20502">
      <w:pPr>
        <w:spacing w:after="0"/>
        <w:rPr>
          <w:rFonts w:ascii="Arial" w:hAnsi="Arial" w:cs="Arial"/>
          <w:b/>
        </w:rPr>
      </w:pPr>
      <w:r w:rsidRPr="003A73D6">
        <w:rPr>
          <w:rFonts w:ascii="Arial" w:hAnsi="Arial" w:cs="Arial"/>
          <w:b/>
        </w:rPr>
        <w:t>Standard service (free service)</w:t>
      </w:r>
    </w:p>
    <w:p w14:paraId="419F3466" w14:textId="77777777" w:rsidR="00A20502" w:rsidRPr="00D173D5" w:rsidRDefault="00A20502" w:rsidP="00A20502">
      <w:pPr>
        <w:spacing w:after="0"/>
        <w:rPr>
          <w:rFonts w:ascii="Arial" w:hAnsi="Arial" w:cs="Arial"/>
        </w:rPr>
      </w:pPr>
    </w:p>
    <w:tbl>
      <w:tblPr>
        <w:tblStyle w:val="LightList-Accent1"/>
        <w:tblW w:w="8673" w:type="dxa"/>
        <w:tblInd w:w="108" w:type="dxa"/>
        <w:tblBorders>
          <w:top w:val="single" w:sz="6" w:space="0" w:color="004150"/>
          <w:left w:val="single" w:sz="6" w:space="0" w:color="004150"/>
          <w:bottom w:val="single" w:sz="6" w:space="0" w:color="004150"/>
          <w:right w:val="single" w:sz="6" w:space="0" w:color="004150"/>
          <w:insideH w:val="single" w:sz="6" w:space="0" w:color="004150"/>
          <w:insideV w:val="single" w:sz="6" w:space="0" w:color="004150"/>
        </w:tblBorders>
        <w:tblLook w:val="04A0" w:firstRow="1" w:lastRow="0" w:firstColumn="1" w:lastColumn="0" w:noHBand="0" w:noVBand="1"/>
      </w:tblPr>
      <w:tblGrid>
        <w:gridCol w:w="1727"/>
        <w:gridCol w:w="1701"/>
        <w:gridCol w:w="1985"/>
        <w:gridCol w:w="3260"/>
      </w:tblGrid>
      <w:tr w:rsidR="00A20502" w:rsidRPr="00D173D5" w14:paraId="3A852119" w14:textId="77777777" w:rsidTr="001362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shd w:val="clear" w:color="auto" w:fill="004150"/>
          </w:tcPr>
          <w:p w14:paraId="13AA0B8B" w14:textId="77777777" w:rsidR="00A20502" w:rsidRPr="00D173D5" w:rsidRDefault="00A20502" w:rsidP="00487A0E">
            <w:pPr>
              <w:rPr>
                <w:rFonts w:ascii="Arial" w:hAnsi="Arial" w:cs="Arial"/>
                <w:sz w:val="20"/>
                <w:szCs w:val="20"/>
              </w:rPr>
            </w:pPr>
            <w:r w:rsidRPr="00D173D5">
              <w:rPr>
                <w:rFonts w:ascii="Arial" w:hAnsi="Arial" w:cs="Arial"/>
                <w:sz w:val="20"/>
                <w:szCs w:val="20"/>
              </w:rPr>
              <w:t>Credit reporter</w:t>
            </w:r>
          </w:p>
        </w:tc>
        <w:tc>
          <w:tcPr>
            <w:tcW w:w="1701" w:type="dxa"/>
            <w:shd w:val="clear" w:color="auto" w:fill="004150"/>
          </w:tcPr>
          <w:p w14:paraId="7D8988D7" w14:textId="77777777" w:rsidR="00A20502" w:rsidRPr="00D173D5" w:rsidRDefault="00A20502" w:rsidP="00487A0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173D5">
              <w:rPr>
                <w:rFonts w:ascii="Arial" w:hAnsi="Arial" w:cs="Arial"/>
                <w:sz w:val="20"/>
                <w:szCs w:val="20"/>
              </w:rPr>
              <w:t>Requests made</w:t>
            </w:r>
          </w:p>
        </w:tc>
        <w:tc>
          <w:tcPr>
            <w:tcW w:w="1985" w:type="dxa"/>
            <w:shd w:val="clear" w:color="auto" w:fill="004150"/>
          </w:tcPr>
          <w:p w14:paraId="7459CD3B" w14:textId="77777777" w:rsidR="00A20502" w:rsidRDefault="00A20502" w:rsidP="00487A0E">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sz w:val="20"/>
                <w:szCs w:val="20"/>
              </w:rPr>
              <w:t xml:space="preserve">Timeliness met </w:t>
            </w:r>
          </w:p>
          <w:p w14:paraId="2053ACE6" w14:textId="6B6CB2E2" w:rsidR="00C20B70" w:rsidRPr="00D173D5" w:rsidRDefault="00C20B70" w:rsidP="00487A0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 working days)</w:t>
            </w:r>
          </w:p>
        </w:tc>
        <w:tc>
          <w:tcPr>
            <w:tcW w:w="3260" w:type="dxa"/>
            <w:shd w:val="clear" w:color="auto" w:fill="004150"/>
          </w:tcPr>
          <w:p w14:paraId="451CB2B8" w14:textId="77777777" w:rsidR="001362C3" w:rsidRDefault="00A20502" w:rsidP="00487A0E">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sz w:val="20"/>
                <w:szCs w:val="20"/>
              </w:rPr>
              <w:t>Average response (days)</w:t>
            </w:r>
            <w:r w:rsidR="001362C3">
              <w:rPr>
                <w:rFonts w:ascii="Arial" w:hAnsi="Arial" w:cs="Arial"/>
                <w:sz w:val="20"/>
                <w:szCs w:val="20"/>
              </w:rPr>
              <w:t xml:space="preserve"> </w:t>
            </w:r>
          </w:p>
          <w:p w14:paraId="79011B66" w14:textId="77777777" w:rsidR="00A20502" w:rsidRPr="00D173D5" w:rsidRDefault="001362C3" w:rsidP="00487A0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2015 results in brackets</w:t>
            </w:r>
            <w:r w:rsidR="00640A58">
              <w:rPr>
                <w:rFonts w:ascii="Arial" w:hAnsi="Arial" w:cs="Arial"/>
                <w:sz w:val="20"/>
                <w:szCs w:val="20"/>
              </w:rPr>
              <w:t xml:space="preserve"> </w:t>
            </w:r>
          </w:p>
        </w:tc>
      </w:tr>
      <w:tr w:rsidR="00A20502" w:rsidRPr="00D173D5" w14:paraId="6D039095" w14:textId="77777777" w:rsidTr="00136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tcBorders>
              <w:top w:val="none" w:sz="0" w:space="0" w:color="auto"/>
              <w:left w:val="none" w:sz="0" w:space="0" w:color="auto"/>
              <w:bottom w:val="none" w:sz="0" w:space="0" w:color="auto"/>
            </w:tcBorders>
          </w:tcPr>
          <w:p w14:paraId="20539E77" w14:textId="77777777" w:rsidR="00A20502" w:rsidRPr="00D173D5" w:rsidRDefault="00A20502" w:rsidP="00487A0E">
            <w:pPr>
              <w:rPr>
                <w:rFonts w:ascii="Arial" w:hAnsi="Arial" w:cs="Arial"/>
                <w:sz w:val="20"/>
                <w:szCs w:val="20"/>
              </w:rPr>
            </w:pPr>
            <w:r w:rsidRPr="00D173D5">
              <w:rPr>
                <w:rFonts w:ascii="Arial" w:hAnsi="Arial" w:cs="Arial"/>
                <w:sz w:val="20"/>
                <w:szCs w:val="20"/>
              </w:rPr>
              <w:t>Centrix</w:t>
            </w:r>
          </w:p>
        </w:tc>
        <w:tc>
          <w:tcPr>
            <w:tcW w:w="1701" w:type="dxa"/>
            <w:tcBorders>
              <w:top w:val="none" w:sz="0" w:space="0" w:color="auto"/>
              <w:bottom w:val="none" w:sz="0" w:space="0" w:color="auto"/>
            </w:tcBorders>
          </w:tcPr>
          <w:p w14:paraId="42F301AA" w14:textId="77777777" w:rsidR="00A20502" w:rsidRPr="00D173D5" w:rsidRDefault="00A20502" w:rsidP="00BA10F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w:t>
            </w:r>
          </w:p>
        </w:tc>
        <w:tc>
          <w:tcPr>
            <w:tcW w:w="1985" w:type="dxa"/>
            <w:tcBorders>
              <w:top w:val="none" w:sz="0" w:space="0" w:color="auto"/>
              <w:bottom w:val="none" w:sz="0" w:space="0" w:color="auto"/>
            </w:tcBorders>
          </w:tcPr>
          <w:p w14:paraId="7F93A6B4" w14:textId="77777777" w:rsidR="00A20502" w:rsidRPr="00D173D5" w:rsidRDefault="00A20502" w:rsidP="00BA10F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100%</w:t>
            </w:r>
          </w:p>
        </w:tc>
        <w:tc>
          <w:tcPr>
            <w:tcW w:w="3260" w:type="dxa"/>
            <w:tcBorders>
              <w:top w:val="none" w:sz="0" w:space="0" w:color="auto"/>
              <w:bottom w:val="none" w:sz="0" w:space="0" w:color="auto"/>
              <w:right w:val="none" w:sz="0" w:space="0" w:color="auto"/>
            </w:tcBorders>
          </w:tcPr>
          <w:p w14:paraId="5E6F4053" w14:textId="4F9D1FB5" w:rsidR="00A20502" w:rsidRPr="00D173D5" w:rsidRDefault="00CF40F6" w:rsidP="00BA10F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BA10FA">
              <w:rPr>
                <w:rFonts w:ascii="Arial" w:hAnsi="Arial" w:cs="Arial"/>
                <w:sz w:val="20"/>
                <w:szCs w:val="20"/>
              </w:rPr>
              <w:t>1</w:t>
            </w:r>
            <w:r w:rsidR="00640A58">
              <w:rPr>
                <w:rFonts w:ascii="Arial" w:hAnsi="Arial" w:cs="Arial"/>
                <w:sz w:val="20"/>
                <w:szCs w:val="20"/>
              </w:rPr>
              <w:t>5.9</w:t>
            </w:r>
            <w:r w:rsidR="00D04368">
              <w:rPr>
                <w:rFonts w:ascii="Arial" w:hAnsi="Arial" w:cs="Arial"/>
                <w:sz w:val="20"/>
                <w:szCs w:val="20"/>
              </w:rPr>
              <w:t xml:space="preserve"> (5</w:t>
            </w:r>
            <w:r w:rsidR="00640A58">
              <w:rPr>
                <w:rFonts w:ascii="Arial" w:hAnsi="Arial" w:cs="Arial"/>
                <w:sz w:val="20"/>
                <w:szCs w:val="20"/>
              </w:rPr>
              <w:t>.1</w:t>
            </w:r>
            <w:r w:rsidR="00D04368">
              <w:rPr>
                <w:rFonts w:ascii="Arial" w:hAnsi="Arial" w:cs="Arial"/>
                <w:sz w:val="20"/>
                <w:szCs w:val="20"/>
              </w:rPr>
              <w:t>)</w:t>
            </w:r>
          </w:p>
        </w:tc>
      </w:tr>
      <w:tr w:rsidR="00A20502" w:rsidRPr="00D173D5" w14:paraId="155CDD54" w14:textId="77777777" w:rsidTr="001362C3">
        <w:trPr>
          <w:trHeight w:val="258"/>
        </w:trPr>
        <w:tc>
          <w:tcPr>
            <w:cnfStyle w:val="001000000000" w:firstRow="0" w:lastRow="0" w:firstColumn="1" w:lastColumn="0" w:oddVBand="0" w:evenVBand="0" w:oddHBand="0" w:evenHBand="0" w:firstRowFirstColumn="0" w:firstRowLastColumn="0" w:lastRowFirstColumn="0" w:lastRowLastColumn="0"/>
            <w:tcW w:w="1727" w:type="dxa"/>
          </w:tcPr>
          <w:p w14:paraId="3CCE9B91" w14:textId="77777777" w:rsidR="00A20502" w:rsidRPr="00D173D5" w:rsidRDefault="00A20502" w:rsidP="00487A0E">
            <w:pPr>
              <w:rPr>
                <w:rFonts w:ascii="Arial" w:hAnsi="Arial" w:cs="Arial"/>
                <w:sz w:val="20"/>
                <w:szCs w:val="20"/>
              </w:rPr>
            </w:pPr>
            <w:r>
              <w:rPr>
                <w:rFonts w:ascii="Arial" w:hAnsi="Arial" w:cs="Arial"/>
                <w:sz w:val="20"/>
                <w:szCs w:val="20"/>
              </w:rPr>
              <w:t>Equifax</w:t>
            </w:r>
          </w:p>
        </w:tc>
        <w:tc>
          <w:tcPr>
            <w:tcW w:w="1701" w:type="dxa"/>
          </w:tcPr>
          <w:p w14:paraId="5D32D1D5" w14:textId="7A4F0A6B" w:rsidR="00A20502" w:rsidRPr="00D173D5" w:rsidRDefault="00A20502" w:rsidP="00BA10F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w:t>
            </w:r>
            <w:r w:rsidR="009026E6">
              <w:rPr>
                <w:rStyle w:val="FootnoteReference"/>
                <w:rFonts w:ascii="Arial" w:hAnsi="Arial" w:cs="Arial"/>
                <w:sz w:val="20"/>
                <w:szCs w:val="20"/>
              </w:rPr>
              <w:footnoteReference w:id="1"/>
            </w:r>
          </w:p>
        </w:tc>
        <w:tc>
          <w:tcPr>
            <w:tcW w:w="1985" w:type="dxa"/>
          </w:tcPr>
          <w:p w14:paraId="01A8AF26" w14:textId="77777777" w:rsidR="00A20502" w:rsidRPr="00D173D5" w:rsidRDefault="00A20502" w:rsidP="00BA10F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89%</w:t>
            </w:r>
          </w:p>
        </w:tc>
        <w:tc>
          <w:tcPr>
            <w:tcW w:w="3260" w:type="dxa"/>
          </w:tcPr>
          <w:p w14:paraId="3F540551" w14:textId="76A03E55" w:rsidR="00A20502" w:rsidRPr="00D173D5" w:rsidRDefault="00BA10FA" w:rsidP="00BA10F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A20502">
              <w:rPr>
                <w:rFonts w:ascii="Arial" w:hAnsi="Arial" w:cs="Arial"/>
                <w:sz w:val="20"/>
                <w:szCs w:val="20"/>
              </w:rPr>
              <w:t>13</w:t>
            </w:r>
            <w:r w:rsidR="00640A58">
              <w:rPr>
                <w:rFonts w:ascii="Arial" w:hAnsi="Arial" w:cs="Arial"/>
                <w:sz w:val="20"/>
                <w:szCs w:val="20"/>
              </w:rPr>
              <w:t>.3</w:t>
            </w:r>
            <w:r w:rsidR="00D04368">
              <w:rPr>
                <w:rFonts w:ascii="Arial" w:hAnsi="Arial" w:cs="Arial"/>
                <w:sz w:val="20"/>
                <w:szCs w:val="20"/>
              </w:rPr>
              <w:t xml:space="preserve"> (17</w:t>
            </w:r>
            <w:r w:rsidR="00640A58">
              <w:rPr>
                <w:rFonts w:ascii="Arial" w:hAnsi="Arial" w:cs="Arial"/>
                <w:sz w:val="20"/>
                <w:szCs w:val="20"/>
              </w:rPr>
              <w:t>.1</w:t>
            </w:r>
            <w:r w:rsidR="00D04368">
              <w:rPr>
                <w:rFonts w:ascii="Arial" w:hAnsi="Arial" w:cs="Arial"/>
                <w:sz w:val="20"/>
                <w:szCs w:val="20"/>
              </w:rPr>
              <w:t>)</w:t>
            </w:r>
          </w:p>
        </w:tc>
      </w:tr>
      <w:tr w:rsidR="00A20502" w:rsidRPr="00D173D5" w14:paraId="1069D96E" w14:textId="77777777" w:rsidTr="00136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tcBorders>
              <w:top w:val="none" w:sz="0" w:space="0" w:color="auto"/>
              <w:left w:val="none" w:sz="0" w:space="0" w:color="auto"/>
              <w:bottom w:val="none" w:sz="0" w:space="0" w:color="auto"/>
            </w:tcBorders>
          </w:tcPr>
          <w:p w14:paraId="26A3A9D9" w14:textId="04599C1D" w:rsidR="00A20502" w:rsidRPr="00D173D5" w:rsidRDefault="00BA10FA" w:rsidP="00487A0E">
            <w:pPr>
              <w:rPr>
                <w:rFonts w:ascii="Arial" w:hAnsi="Arial" w:cs="Arial"/>
                <w:sz w:val="20"/>
                <w:szCs w:val="20"/>
              </w:rPr>
            </w:pPr>
            <w:r>
              <w:rPr>
                <w:rFonts w:ascii="Arial" w:hAnsi="Arial" w:cs="Arial"/>
                <w:sz w:val="20"/>
                <w:szCs w:val="20"/>
              </w:rPr>
              <w:t>i</w:t>
            </w:r>
            <w:r w:rsidR="00A20502">
              <w:rPr>
                <w:rFonts w:ascii="Arial" w:hAnsi="Arial" w:cs="Arial"/>
                <w:sz w:val="20"/>
                <w:szCs w:val="20"/>
              </w:rPr>
              <w:t>llion</w:t>
            </w:r>
          </w:p>
        </w:tc>
        <w:tc>
          <w:tcPr>
            <w:tcW w:w="1701" w:type="dxa"/>
            <w:tcBorders>
              <w:top w:val="none" w:sz="0" w:space="0" w:color="auto"/>
              <w:bottom w:val="none" w:sz="0" w:space="0" w:color="auto"/>
            </w:tcBorders>
          </w:tcPr>
          <w:p w14:paraId="6FB7A480" w14:textId="18F23E8A" w:rsidR="00A20502" w:rsidRPr="00D173D5" w:rsidRDefault="00A20502" w:rsidP="00BA10F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w:t>
            </w:r>
          </w:p>
        </w:tc>
        <w:tc>
          <w:tcPr>
            <w:tcW w:w="1985" w:type="dxa"/>
            <w:tcBorders>
              <w:top w:val="none" w:sz="0" w:space="0" w:color="auto"/>
              <w:bottom w:val="none" w:sz="0" w:space="0" w:color="auto"/>
            </w:tcBorders>
          </w:tcPr>
          <w:p w14:paraId="732EA4F4" w14:textId="41EB4561" w:rsidR="00A20502" w:rsidRPr="00D173D5" w:rsidRDefault="00A20502" w:rsidP="00BA10F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95%</w:t>
            </w:r>
            <w:r w:rsidR="00B973CD" w:rsidRPr="00B973CD">
              <w:rPr>
                <w:rFonts w:ascii="Arial" w:hAnsi="Arial" w:cs="Arial"/>
                <w:sz w:val="20"/>
                <w:szCs w:val="20"/>
                <w:vertAlign w:val="superscript"/>
              </w:rPr>
              <w:footnoteReference w:id="2"/>
            </w:r>
          </w:p>
        </w:tc>
        <w:tc>
          <w:tcPr>
            <w:tcW w:w="3260" w:type="dxa"/>
            <w:tcBorders>
              <w:top w:val="none" w:sz="0" w:space="0" w:color="auto"/>
              <w:bottom w:val="none" w:sz="0" w:space="0" w:color="auto"/>
              <w:right w:val="none" w:sz="0" w:space="0" w:color="auto"/>
            </w:tcBorders>
          </w:tcPr>
          <w:p w14:paraId="5F7B188E" w14:textId="373370D1" w:rsidR="00A20502" w:rsidRPr="00D173D5" w:rsidRDefault="00BA10FA" w:rsidP="00BA10F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CF40F6">
              <w:rPr>
                <w:rFonts w:ascii="Arial" w:hAnsi="Arial" w:cs="Arial"/>
                <w:sz w:val="20"/>
                <w:szCs w:val="20"/>
              </w:rPr>
              <w:t xml:space="preserve">  </w:t>
            </w:r>
            <w:r>
              <w:rPr>
                <w:rFonts w:ascii="Arial" w:hAnsi="Arial" w:cs="Arial"/>
                <w:sz w:val="20"/>
                <w:szCs w:val="20"/>
              </w:rPr>
              <w:t xml:space="preserve"> </w:t>
            </w:r>
            <w:r w:rsidR="00640A58">
              <w:rPr>
                <w:rFonts w:ascii="Arial" w:hAnsi="Arial" w:cs="Arial"/>
                <w:sz w:val="20"/>
                <w:szCs w:val="20"/>
              </w:rPr>
              <w:t>6.8</w:t>
            </w:r>
            <w:r w:rsidR="00D04368">
              <w:rPr>
                <w:rFonts w:ascii="Arial" w:hAnsi="Arial" w:cs="Arial"/>
                <w:sz w:val="20"/>
                <w:szCs w:val="20"/>
              </w:rPr>
              <w:t xml:space="preserve"> </w:t>
            </w:r>
            <w:r>
              <w:rPr>
                <w:rFonts w:ascii="Arial" w:hAnsi="Arial" w:cs="Arial"/>
                <w:sz w:val="20"/>
                <w:szCs w:val="20"/>
              </w:rPr>
              <w:t>(</w:t>
            </w:r>
            <w:r w:rsidR="00D04368">
              <w:rPr>
                <w:rFonts w:ascii="Arial" w:hAnsi="Arial" w:cs="Arial"/>
                <w:sz w:val="20"/>
                <w:szCs w:val="20"/>
              </w:rPr>
              <w:t>8</w:t>
            </w:r>
            <w:r w:rsidR="00640A58">
              <w:rPr>
                <w:rFonts w:ascii="Arial" w:hAnsi="Arial" w:cs="Arial"/>
                <w:sz w:val="20"/>
                <w:szCs w:val="20"/>
              </w:rPr>
              <w:t>.2</w:t>
            </w:r>
            <w:r w:rsidR="00D04368">
              <w:rPr>
                <w:rFonts w:ascii="Arial" w:hAnsi="Arial" w:cs="Arial"/>
                <w:sz w:val="20"/>
                <w:szCs w:val="20"/>
              </w:rPr>
              <w:t>)</w:t>
            </w:r>
          </w:p>
        </w:tc>
      </w:tr>
    </w:tbl>
    <w:p w14:paraId="47C6FC45" w14:textId="77777777" w:rsidR="00A20502" w:rsidRPr="00D173D5" w:rsidRDefault="00A20502" w:rsidP="00A20502">
      <w:pPr>
        <w:spacing w:after="0"/>
        <w:jc w:val="both"/>
        <w:rPr>
          <w:rFonts w:ascii="Arial" w:hAnsi="Arial" w:cs="Arial"/>
          <w:sz w:val="20"/>
          <w:szCs w:val="20"/>
        </w:rPr>
      </w:pPr>
    </w:p>
    <w:p w14:paraId="3959ABB0" w14:textId="77777777" w:rsidR="00DE32D5" w:rsidRDefault="00705C96" w:rsidP="00403AE8">
      <w:pPr>
        <w:jc w:val="both"/>
        <w:rPr>
          <w:rFonts w:ascii="Arial" w:hAnsi="Arial" w:cs="Arial"/>
        </w:rPr>
      </w:pPr>
      <w:r w:rsidRPr="00135D69">
        <w:rPr>
          <w:rFonts w:ascii="Arial" w:hAnsi="Arial" w:cs="Arial"/>
        </w:rPr>
        <w:t xml:space="preserve">The Code requires credit reporters to give </w:t>
      </w:r>
      <w:r w:rsidR="00EF3B14">
        <w:rPr>
          <w:rFonts w:ascii="Arial" w:hAnsi="Arial" w:cs="Arial"/>
        </w:rPr>
        <w:t xml:space="preserve">consumers </w:t>
      </w:r>
      <w:r w:rsidRPr="00135D69">
        <w:rPr>
          <w:rFonts w:ascii="Arial" w:hAnsi="Arial" w:cs="Arial"/>
        </w:rPr>
        <w:t>their credit reports as quickly as practicable, and within 20 working days. The 20 working days is a maximum, not a minimum. If credit reporters can deliver credit information in fewer than 20 working days, they are required to do so.</w:t>
      </w:r>
    </w:p>
    <w:p w14:paraId="401C4AEA" w14:textId="5B1300F6" w:rsidR="00705C96" w:rsidRPr="00135D69" w:rsidRDefault="00DE32D5" w:rsidP="00403AE8">
      <w:pPr>
        <w:jc w:val="both"/>
        <w:rPr>
          <w:rFonts w:ascii="Arial" w:hAnsi="Arial" w:cs="Arial"/>
        </w:rPr>
      </w:pPr>
      <w:r>
        <w:rPr>
          <w:rFonts w:ascii="Arial" w:hAnsi="Arial" w:cs="Arial"/>
        </w:rPr>
        <w:t>It</w:t>
      </w:r>
      <w:r w:rsidR="00CF40F6">
        <w:rPr>
          <w:rFonts w:ascii="Arial" w:hAnsi="Arial" w:cs="Arial"/>
        </w:rPr>
        <w:t xml:space="preserve"> is</w:t>
      </w:r>
      <w:r>
        <w:rPr>
          <w:rFonts w:ascii="Arial" w:hAnsi="Arial" w:cs="Arial"/>
        </w:rPr>
        <w:t xml:space="preserve"> important that the public has timely access to their credit information to maintain an awareness of their credit status, to ensure that the information is accurate and to help guard against the risk of identity theft.</w:t>
      </w:r>
      <w:r w:rsidR="00705C96" w:rsidRPr="00135D69">
        <w:rPr>
          <w:rFonts w:ascii="Arial" w:hAnsi="Arial" w:cs="Arial"/>
        </w:rPr>
        <w:t xml:space="preserve"> </w:t>
      </w:r>
    </w:p>
    <w:p w14:paraId="1872D3E5" w14:textId="0E2F739D" w:rsidR="000A1EF3" w:rsidRDefault="00F6584F" w:rsidP="00403AE8">
      <w:pPr>
        <w:jc w:val="both"/>
        <w:rPr>
          <w:rFonts w:ascii="Arial" w:hAnsi="Arial" w:cs="Arial"/>
        </w:rPr>
      </w:pPr>
      <w:bookmarkStart w:id="3" w:name="_Hlk2942050"/>
      <w:r>
        <w:rPr>
          <w:rFonts w:ascii="Arial" w:hAnsi="Arial" w:cs="Arial"/>
        </w:rPr>
        <w:t>While credit reporters are generally providing reports within 20 working day</w:t>
      </w:r>
      <w:r w:rsidR="002226F4">
        <w:rPr>
          <w:rFonts w:ascii="Arial" w:hAnsi="Arial" w:cs="Arial"/>
        </w:rPr>
        <w:t>s</w:t>
      </w:r>
      <w:r w:rsidR="00CF40F6">
        <w:rPr>
          <w:rFonts w:ascii="Arial" w:hAnsi="Arial" w:cs="Arial"/>
        </w:rPr>
        <w:t>,</w:t>
      </w:r>
      <w:r w:rsidR="002226F4">
        <w:rPr>
          <w:rFonts w:ascii="Arial" w:hAnsi="Arial" w:cs="Arial"/>
        </w:rPr>
        <w:t xml:space="preserve"> </w:t>
      </w:r>
      <w:r>
        <w:rPr>
          <w:rFonts w:ascii="Arial" w:hAnsi="Arial" w:cs="Arial"/>
        </w:rPr>
        <w:t>there</w:t>
      </w:r>
      <w:r w:rsidR="00705C96" w:rsidRPr="00135D69">
        <w:rPr>
          <w:rFonts w:ascii="Arial" w:hAnsi="Arial" w:cs="Arial"/>
        </w:rPr>
        <w:t xml:space="preserve"> were significant differences between each credit reporter’s average amount of time taken to provide people with their credit reports.</w:t>
      </w:r>
      <w:r w:rsidR="00296D7B">
        <w:rPr>
          <w:rFonts w:ascii="Arial" w:hAnsi="Arial" w:cs="Arial"/>
        </w:rPr>
        <w:t xml:space="preserve"> </w:t>
      </w:r>
      <w:r w:rsidR="000A1EF3" w:rsidRPr="000A1EF3">
        <w:rPr>
          <w:rFonts w:ascii="Arial" w:hAnsi="Arial" w:cs="Arial"/>
        </w:rPr>
        <w:t xml:space="preserve">The results show a marked degradation in service provided by Centrix from being the timeliest provider of information </w:t>
      </w:r>
      <w:r w:rsidR="00B973CD">
        <w:rPr>
          <w:rFonts w:ascii="Arial" w:hAnsi="Arial" w:cs="Arial"/>
        </w:rPr>
        <w:t xml:space="preserve">in our 2015 Report </w:t>
      </w:r>
      <w:r w:rsidR="000A1EF3" w:rsidRPr="000A1EF3">
        <w:rPr>
          <w:rFonts w:ascii="Arial" w:hAnsi="Arial" w:cs="Arial"/>
        </w:rPr>
        <w:t>to the slowest. The other two provider</w:t>
      </w:r>
      <w:r w:rsidR="00B973CD">
        <w:rPr>
          <w:rFonts w:ascii="Arial" w:hAnsi="Arial" w:cs="Arial"/>
        </w:rPr>
        <w:t>s’</w:t>
      </w:r>
      <w:r w:rsidR="000A1EF3" w:rsidRPr="000A1EF3">
        <w:rPr>
          <w:rFonts w:ascii="Arial" w:hAnsi="Arial" w:cs="Arial"/>
        </w:rPr>
        <w:t xml:space="preserve"> results show a slight improvement in </w:t>
      </w:r>
      <w:r w:rsidR="000A1EF3">
        <w:rPr>
          <w:rFonts w:ascii="Arial" w:hAnsi="Arial" w:cs="Arial"/>
        </w:rPr>
        <w:t>average response times.</w:t>
      </w:r>
      <w:r w:rsidR="000A1EF3" w:rsidRPr="000A1EF3">
        <w:rPr>
          <w:rFonts w:ascii="Arial" w:hAnsi="Arial" w:cs="Arial"/>
        </w:rPr>
        <w:t xml:space="preserve"> </w:t>
      </w:r>
    </w:p>
    <w:p w14:paraId="0837A65A" w14:textId="27934244" w:rsidR="00705C96" w:rsidRDefault="00287285" w:rsidP="00403AE8">
      <w:pPr>
        <w:jc w:val="both"/>
        <w:rPr>
          <w:rFonts w:ascii="Arial" w:hAnsi="Arial" w:cs="Arial"/>
        </w:rPr>
      </w:pPr>
      <w:r>
        <w:rPr>
          <w:rFonts w:ascii="Arial" w:hAnsi="Arial" w:cs="Arial"/>
        </w:rPr>
        <w:t xml:space="preserve">From </w:t>
      </w:r>
      <w:r w:rsidR="001235ED" w:rsidRPr="001235ED">
        <w:rPr>
          <w:rFonts w:ascii="Arial" w:hAnsi="Arial" w:cs="Arial"/>
        </w:rPr>
        <w:t>1 July 2019</w:t>
      </w:r>
      <w:r w:rsidR="001235ED">
        <w:rPr>
          <w:rFonts w:ascii="Arial" w:hAnsi="Arial" w:cs="Arial"/>
        </w:rPr>
        <w:t xml:space="preserve">, Rule 6 of the Code is </w:t>
      </w:r>
      <w:r w:rsidR="00963768">
        <w:rPr>
          <w:rFonts w:ascii="Arial" w:hAnsi="Arial" w:cs="Arial"/>
        </w:rPr>
        <w:t>changing -</w:t>
      </w:r>
      <w:r w:rsidR="005E01B3">
        <w:rPr>
          <w:rFonts w:ascii="Arial" w:hAnsi="Arial" w:cs="Arial"/>
        </w:rPr>
        <w:t xml:space="preserve"> credit reports requested using the free standard service must be provided within 10 working days (currently 20 working days)</w:t>
      </w:r>
      <w:r w:rsidR="001235ED" w:rsidRPr="001235ED">
        <w:rPr>
          <w:rFonts w:ascii="Arial" w:hAnsi="Arial" w:cs="Arial"/>
        </w:rPr>
        <w:t>.</w:t>
      </w:r>
      <w:r w:rsidR="00B973CD">
        <w:rPr>
          <w:rFonts w:ascii="Arial" w:hAnsi="Arial" w:cs="Arial"/>
        </w:rPr>
        <w:t xml:space="preserve"> Currently only illion is meeting this requirement.</w:t>
      </w:r>
    </w:p>
    <w:p w14:paraId="59F579F9" w14:textId="312BC8F8" w:rsidR="00DE32D5" w:rsidRDefault="00EF3B14" w:rsidP="00403AE8">
      <w:pPr>
        <w:jc w:val="both"/>
        <w:rPr>
          <w:rFonts w:ascii="Arial" w:hAnsi="Arial" w:cs="Arial"/>
        </w:rPr>
      </w:pPr>
      <w:r w:rsidRPr="00EF3B14">
        <w:rPr>
          <w:rFonts w:ascii="Arial" w:hAnsi="Arial" w:cs="Arial"/>
        </w:rPr>
        <w:t xml:space="preserve">This </w:t>
      </w:r>
      <w:r>
        <w:rPr>
          <w:rFonts w:ascii="Arial" w:hAnsi="Arial" w:cs="Arial"/>
        </w:rPr>
        <w:t xml:space="preserve">reduction in the outer time limit </w:t>
      </w:r>
      <w:r w:rsidRPr="00EF3B14">
        <w:rPr>
          <w:rFonts w:ascii="Arial" w:hAnsi="Arial" w:cs="Arial"/>
        </w:rPr>
        <w:t>refle</w:t>
      </w:r>
      <w:r>
        <w:rPr>
          <w:rFonts w:ascii="Arial" w:hAnsi="Arial" w:cs="Arial"/>
        </w:rPr>
        <w:t xml:space="preserve">cts the </w:t>
      </w:r>
      <w:r w:rsidRPr="00EF3B14">
        <w:rPr>
          <w:rFonts w:ascii="Arial" w:hAnsi="Arial" w:cs="Arial"/>
        </w:rPr>
        <w:t>realit</w:t>
      </w:r>
      <w:r w:rsidR="007D4996">
        <w:rPr>
          <w:rFonts w:ascii="Arial" w:hAnsi="Arial" w:cs="Arial"/>
        </w:rPr>
        <w:t>y</w:t>
      </w:r>
      <w:r>
        <w:rPr>
          <w:rFonts w:ascii="Arial" w:hAnsi="Arial" w:cs="Arial"/>
        </w:rPr>
        <w:t xml:space="preserve"> </w:t>
      </w:r>
      <w:r w:rsidRPr="00EF3B14">
        <w:rPr>
          <w:rFonts w:ascii="Arial" w:hAnsi="Arial" w:cs="Arial"/>
        </w:rPr>
        <w:t xml:space="preserve">that the information is </w:t>
      </w:r>
      <w:r>
        <w:rPr>
          <w:rFonts w:ascii="Arial" w:hAnsi="Arial" w:cs="Arial"/>
        </w:rPr>
        <w:t xml:space="preserve">held electronically and </w:t>
      </w:r>
      <w:r w:rsidR="007D4996">
        <w:rPr>
          <w:rFonts w:ascii="Arial" w:hAnsi="Arial" w:cs="Arial"/>
        </w:rPr>
        <w:t xml:space="preserve">is readily </w:t>
      </w:r>
      <w:r w:rsidR="00C54370">
        <w:rPr>
          <w:rFonts w:ascii="Arial" w:hAnsi="Arial" w:cs="Arial"/>
        </w:rPr>
        <w:t>packaged</w:t>
      </w:r>
      <w:r w:rsidR="00B973CD">
        <w:rPr>
          <w:rFonts w:ascii="Arial" w:hAnsi="Arial" w:cs="Arial"/>
        </w:rPr>
        <w:t>. It</w:t>
      </w:r>
      <w:r w:rsidRPr="00EF3B14">
        <w:rPr>
          <w:rFonts w:ascii="Arial" w:hAnsi="Arial" w:cs="Arial"/>
        </w:rPr>
        <w:t xml:space="preserve"> </w:t>
      </w:r>
      <w:r w:rsidR="00C54370">
        <w:rPr>
          <w:rFonts w:ascii="Arial" w:hAnsi="Arial" w:cs="Arial"/>
        </w:rPr>
        <w:t>delivers on</w:t>
      </w:r>
      <w:r w:rsidRPr="00EF3B14">
        <w:rPr>
          <w:rFonts w:ascii="Arial" w:hAnsi="Arial" w:cs="Arial"/>
        </w:rPr>
        <w:t xml:space="preserve"> </w:t>
      </w:r>
      <w:r w:rsidR="00C54370">
        <w:rPr>
          <w:rFonts w:ascii="Arial" w:hAnsi="Arial" w:cs="Arial"/>
        </w:rPr>
        <w:t xml:space="preserve">a </w:t>
      </w:r>
      <w:r w:rsidRPr="00EF3B14">
        <w:rPr>
          <w:rFonts w:ascii="Arial" w:hAnsi="Arial" w:cs="Arial"/>
        </w:rPr>
        <w:t xml:space="preserve">key objective of the </w:t>
      </w:r>
      <w:r w:rsidR="00C47B61">
        <w:rPr>
          <w:rFonts w:ascii="Arial" w:hAnsi="Arial" w:cs="Arial"/>
        </w:rPr>
        <w:t>C</w:t>
      </w:r>
      <w:r w:rsidRPr="00EF3B14">
        <w:rPr>
          <w:rFonts w:ascii="Arial" w:hAnsi="Arial" w:cs="Arial"/>
        </w:rPr>
        <w:t xml:space="preserve">ode </w:t>
      </w:r>
      <w:r w:rsidR="007D4996">
        <w:rPr>
          <w:rFonts w:ascii="Arial" w:hAnsi="Arial" w:cs="Arial"/>
        </w:rPr>
        <w:t>to enable</w:t>
      </w:r>
      <w:r w:rsidRPr="00EF3B14">
        <w:rPr>
          <w:rFonts w:ascii="Arial" w:hAnsi="Arial" w:cs="Arial"/>
        </w:rPr>
        <w:t xml:space="preserve"> </w:t>
      </w:r>
      <w:r w:rsidR="007D4996">
        <w:rPr>
          <w:rFonts w:ascii="Arial" w:hAnsi="Arial" w:cs="Arial"/>
        </w:rPr>
        <w:t>the</w:t>
      </w:r>
      <w:r>
        <w:rPr>
          <w:rFonts w:ascii="Arial" w:hAnsi="Arial" w:cs="Arial"/>
        </w:rPr>
        <w:t xml:space="preserve"> </w:t>
      </w:r>
      <w:r w:rsidRPr="00EF3B14">
        <w:rPr>
          <w:rFonts w:ascii="Arial" w:hAnsi="Arial" w:cs="Arial"/>
        </w:rPr>
        <w:t xml:space="preserve">unimpeded </w:t>
      </w:r>
      <w:r w:rsidRPr="00EF3B14">
        <w:rPr>
          <w:rFonts w:ascii="Arial" w:hAnsi="Arial" w:cs="Arial"/>
        </w:rPr>
        <w:lastRenderedPageBreak/>
        <w:t xml:space="preserve">and prompt </w:t>
      </w:r>
      <w:r w:rsidR="007D4996">
        <w:rPr>
          <w:rFonts w:ascii="Arial" w:hAnsi="Arial" w:cs="Arial"/>
        </w:rPr>
        <w:t xml:space="preserve">access to credit information as a </w:t>
      </w:r>
      <w:r w:rsidRPr="00EF3B14">
        <w:rPr>
          <w:rFonts w:ascii="Arial" w:hAnsi="Arial" w:cs="Arial"/>
        </w:rPr>
        <w:t>critical measure to promote trust and accuracy.</w:t>
      </w:r>
      <w:r w:rsidR="007D4996">
        <w:rPr>
          <w:rFonts w:ascii="Arial" w:hAnsi="Arial" w:cs="Arial"/>
        </w:rPr>
        <w:t xml:space="preserve"> </w:t>
      </w:r>
      <w:r>
        <w:rPr>
          <w:rFonts w:ascii="Arial" w:hAnsi="Arial" w:cs="Arial"/>
        </w:rPr>
        <w:t xml:space="preserve">The changes </w:t>
      </w:r>
      <w:r w:rsidR="007D4996">
        <w:rPr>
          <w:rFonts w:ascii="Arial" w:hAnsi="Arial" w:cs="Arial"/>
        </w:rPr>
        <w:t xml:space="preserve">also help to </w:t>
      </w:r>
      <w:r w:rsidRPr="00EF3B14">
        <w:rPr>
          <w:rFonts w:ascii="Arial" w:hAnsi="Arial" w:cs="Arial"/>
        </w:rPr>
        <w:t>ensure that consumers at risk of identity fraud c</w:t>
      </w:r>
      <w:r>
        <w:rPr>
          <w:rFonts w:ascii="Arial" w:hAnsi="Arial" w:cs="Arial"/>
        </w:rPr>
        <w:t>an</w:t>
      </w:r>
      <w:r w:rsidRPr="00EF3B14">
        <w:rPr>
          <w:rFonts w:ascii="Arial" w:hAnsi="Arial" w:cs="Arial"/>
        </w:rPr>
        <w:t xml:space="preserve"> exercise their rights to get an initial</w:t>
      </w:r>
      <w:r>
        <w:rPr>
          <w:rFonts w:ascii="Arial" w:hAnsi="Arial" w:cs="Arial"/>
        </w:rPr>
        <w:t xml:space="preserve"> </w:t>
      </w:r>
      <w:r w:rsidRPr="00EF3B14">
        <w:rPr>
          <w:rFonts w:ascii="Arial" w:hAnsi="Arial" w:cs="Arial"/>
        </w:rPr>
        <w:t xml:space="preserve">credit </w:t>
      </w:r>
      <w:r w:rsidR="00E84AB4">
        <w:rPr>
          <w:rFonts w:ascii="Arial" w:hAnsi="Arial" w:cs="Arial"/>
        </w:rPr>
        <w:t xml:space="preserve">suppression </w:t>
      </w:r>
      <w:r w:rsidRPr="00EF3B14">
        <w:rPr>
          <w:rFonts w:ascii="Arial" w:hAnsi="Arial" w:cs="Arial"/>
        </w:rPr>
        <w:t>more quickly</w:t>
      </w:r>
      <w:r w:rsidR="00C54370">
        <w:rPr>
          <w:rFonts w:ascii="Arial" w:hAnsi="Arial" w:cs="Arial"/>
        </w:rPr>
        <w:t>,</w:t>
      </w:r>
      <w:r w:rsidR="00FC6188">
        <w:rPr>
          <w:rFonts w:ascii="Arial" w:hAnsi="Arial" w:cs="Arial"/>
        </w:rPr>
        <w:t xml:space="preserve"> </w:t>
      </w:r>
      <w:r w:rsidR="00FC6188" w:rsidRPr="00FC6188">
        <w:rPr>
          <w:rFonts w:ascii="Arial" w:hAnsi="Arial" w:cs="Arial"/>
        </w:rPr>
        <w:t>mak</w:t>
      </w:r>
      <w:r w:rsidR="00FC6188">
        <w:rPr>
          <w:rFonts w:ascii="Arial" w:hAnsi="Arial" w:cs="Arial"/>
        </w:rPr>
        <w:t>ing</w:t>
      </w:r>
      <w:r w:rsidR="00FC6188" w:rsidRPr="00FC6188">
        <w:rPr>
          <w:rFonts w:ascii="Arial" w:hAnsi="Arial" w:cs="Arial"/>
        </w:rPr>
        <w:t xml:space="preserve"> it </w:t>
      </w:r>
      <w:r w:rsidR="00FC6188">
        <w:rPr>
          <w:rFonts w:ascii="Arial" w:hAnsi="Arial" w:cs="Arial"/>
        </w:rPr>
        <w:t xml:space="preserve">more </w:t>
      </w:r>
      <w:r w:rsidR="00FC6188" w:rsidRPr="00FC6188">
        <w:rPr>
          <w:rFonts w:ascii="Arial" w:hAnsi="Arial" w:cs="Arial"/>
        </w:rPr>
        <w:t xml:space="preserve">difficult for a fraudster to obtain credit in </w:t>
      </w:r>
      <w:r w:rsidR="00C54370">
        <w:rPr>
          <w:rFonts w:ascii="Arial" w:hAnsi="Arial" w:cs="Arial"/>
        </w:rPr>
        <w:t>someone else’s</w:t>
      </w:r>
      <w:r w:rsidR="00FC6188" w:rsidRPr="00FC6188">
        <w:rPr>
          <w:rFonts w:ascii="Arial" w:hAnsi="Arial" w:cs="Arial"/>
        </w:rPr>
        <w:t xml:space="preserve"> name.</w:t>
      </w:r>
    </w:p>
    <w:bookmarkEnd w:id="3"/>
    <w:p w14:paraId="395536E6" w14:textId="5C3C1EFF" w:rsidR="00A20502" w:rsidRPr="003A73D6" w:rsidRDefault="00A20502" w:rsidP="00A20502">
      <w:pPr>
        <w:spacing w:after="0"/>
        <w:rPr>
          <w:rFonts w:ascii="Arial" w:hAnsi="Arial" w:cs="Arial"/>
          <w:b/>
        </w:rPr>
      </w:pPr>
      <w:r w:rsidRPr="003A73D6">
        <w:rPr>
          <w:rFonts w:ascii="Arial" w:hAnsi="Arial" w:cs="Arial"/>
          <w:b/>
        </w:rPr>
        <w:t>Fast track</w:t>
      </w:r>
      <w:r w:rsidR="008352AD">
        <w:rPr>
          <w:rFonts w:ascii="Arial" w:hAnsi="Arial" w:cs="Arial"/>
          <w:b/>
        </w:rPr>
        <w:t xml:space="preserve"> </w:t>
      </w:r>
      <w:r w:rsidRPr="003A73D6">
        <w:rPr>
          <w:rFonts w:ascii="Arial" w:hAnsi="Arial" w:cs="Arial"/>
          <w:b/>
        </w:rPr>
        <w:t>/</w:t>
      </w:r>
      <w:r w:rsidR="008352AD">
        <w:rPr>
          <w:rFonts w:ascii="Arial" w:hAnsi="Arial" w:cs="Arial"/>
          <w:b/>
        </w:rPr>
        <w:t xml:space="preserve"> </w:t>
      </w:r>
      <w:r w:rsidRPr="003A73D6">
        <w:rPr>
          <w:rFonts w:ascii="Arial" w:hAnsi="Arial" w:cs="Arial"/>
          <w:b/>
        </w:rPr>
        <w:t>Alert Service (paid service)</w:t>
      </w:r>
    </w:p>
    <w:p w14:paraId="1527EF8C" w14:textId="77777777" w:rsidR="00A20502" w:rsidRPr="00D173D5" w:rsidRDefault="00A20502" w:rsidP="00A20502">
      <w:pPr>
        <w:spacing w:after="0" w:line="240" w:lineRule="auto"/>
        <w:rPr>
          <w:rFonts w:ascii="Arial" w:hAnsi="Arial" w:cs="Arial"/>
          <w:color w:val="E15F55"/>
          <w:sz w:val="20"/>
          <w:szCs w:val="20"/>
        </w:rPr>
      </w:pPr>
    </w:p>
    <w:tbl>
      <w:tblPr>
        <w:tblStyle w:val="LightList-Accent1"/>
        <w:tblpPr w:leftFromText="180" w:rightFromText="180" w:vertAnchor="text" w:horzAnchor="margin" w:tblpX="108" w:tblpY="78"/>
        <w:tblW w:w="8637" w:type="dxa"/>
        <w:tblBorders>
          <w:top w:val="single" w:sz="8" w:space="0" w:color="004150"/>
          <w:left w:val="single" w:sz="8" w:space="0" w:color="004150"/>
          <w:bottom w:val="single" w:sz="8" w:space="0" w:color="004150"/>
          <w:right w:val="single" w:sz="8" w:space="0" w:color="004150"/>
          <w:insideH w:val="single" w:sz="6" w:space="0" w:color="004150"/>
          <w:insideV w:val="single" w:sz="6" w:space="0" w:color="004150"/>
        </w:tblBorders>
        <w:tblLook w:val="04A0" w:firstRow="1" w:lastRow="0" w:firstColumn="1" w:lastColumn="0" w:noHBand="0" w:noVBand="1"/>
      </w:tblPr>
      <w:tblGrid>
        <w:gridCol w:w="2400"/>
        <w:gridCol w:w="1701"/>
        <w:gridCol w:w="1843"/>
        <w:gridCol w:w="2693"/>
      </w:tblGrid>
      <w:tr w:rsidR="00A20502" w:rsidRPr="00D173D5" w14:paraId="33954753" w14:textId="77777777" w:rsidTr="00CF40F6">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00" w:type="dxa"/>
            <w:tcBorders>
              <w:top w:val="single" w:sz="8" w:space="0" w:color="004150"/>
              <w:bottom w:val="single" w:sz="6" w:space="0" w:color="004150"/>
            </w:tcBorders>
            <w:shd w:val="clear" w:color="auto" w:fill="004150"/>
          </w:tcPr>
          <w:p w14:paraId="381D871B" w14:textId="77777777" w:rsidR="00A20502" w:rsidRPr="00D173D5" w:rsidRDefault="00A20502" w:rsidP="00487A0E">
            <w:pPr>
              <w:rPr>
                <w:rFonts w:ascii="Arial" w:hAnsi="Arial" w:cs="Arial"/>
                <w:sz w:val="20"/>
                <w:szCs w:val="20"/>
              </w:rPr>
            </w:pPr>
            <w:bookmarkStart w:id="4" w:name="_Hlk2883309"/>
            <w:r w:rsidRPr="00D173D5">
              <w:rPr>
                <w:rFonts w:ascii="Arial" w:hAnsi="Arial" w:cs="Arial"/>
                <w:sz w:val="20"/>
                <w:szCs w:val="20"/>
              </w:rPr>
              <w:t>Credit reporter</w:t>
            </w:r>
          </w:p>
        </w:tc>
        <w:tc>
          <w:tcPr>
            <w:tcW w:w="1701" w:type="dxa"/>
            <w:tcBorders>
              <w:top w:val="single" w:sz="8" w:space="0" w:color="004150"/>
              <w:bottom w:val="single" w:sz="6" w:space="0" w:color="004150"/>
            </w:tcBorders>
            <w:shd w:val="clear" w:color="auto" w:fill="004150"/>
          </w:tcPr>
          <w:p w14:paraId="5FD4E7F4" w14:textId="77777777" w:rsidR="00A20502" w:rsidRPr="00D173D5" w:rsidRDefault="00A20502" w:rsidP="00487A0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173D5">
              <w:rPr>
                <w:rFonts w:ascii="Arial" w:hAnsi="Arial" w:cs="Arial"/>
                <w:sz w:val="20"/>
                <w:szCs w:val="20"/>
              </w:rPr>
              <w:t>Requests made</w:t>
            </w:r>
          </w:p>
        </w:tc>
        <w:tc>
          <w:tcPr>
            <w:tcW w:w="1843" w:type="dxa"/>
            <w:tcBorders>
              <w:top w:val="single" w:sz="8" w:space="0" w:color="004150"/>
              <w:bottom w:val="single" w:sz="6" w:space="0" w:color="004150"/>
            </w:tcBorders>
            <w:shd w:val="clear" w:color="auto" w:fill="004150"/>
          </w:tcPr>
          <w:p w14:paraId="0BED98BD" w14:textId="77777777" w:rsidR="00A20502" w:rsidRDefault="00A20502" w:rsidP="00487A0E">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sz w:val="20"/>
                <w:szCs w:val="20"/>
              </w:rPr>
              <w:t>Timeliness met</w:t>
            </w:r>
          </w:p>
          <w:p w14:paraId="05D370FB" w14:textId="75B45EAC" w:rsidR="00CF40F6" w:rsidRPr="00D173D5" w:rsidRDefault="00CF40F6" w:rsidP="00487A0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 working days)</w:t>
            </w:r>
          </w:p>
        </w:tc>
        <w:tc>
          <w:tcPr>
            <w:tcW w:w="2693" w:type="dxa"/>
            <w:tcBorders>
              <w:top w:val="single" w:sz="8" w:space="0" w:color="004150"/>
              <w:bottom w:val="single" w:sz="6" w:space="0" w:color="004150"/>
            </w:tcBorders>
            <w:shd w:val="clear" w:color="auto" w:fill="004150"/>
          </w:tcPr>
          <w:p w14:paraId="1BA211E5" w14:textId="77777777" w:rsidR="00A20502" w:rsidRPr="00D173D5" w:rsidRDefault="00A20502" w:rsidP="00487A0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Average response (days)</w:t>
            </w:r>
          </w:p>
        </w:tc>
      </w:tr>
      <w:tr w:rsidR="00A20502" w:rsidRPr="00D173D5" w14:paraId="1957D87E" w14:textId="77777777" w:rsidTr="00CF40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00" w:type="dxa"/>
            <w:tcBorders>
              <w:top w:val="single" w:sz="6" w:space="0" w:color="004150"/>
              <w:left w:val="none" w:sz="0" w:space="0" w:color="auto"/>
              <w:bottom w:val="none" w:sz="0" w:space="0" w:color="auto"/>
            </w:tcBorders>
          </w:tcPr>
          <w:p w14:paraId="00DDF96C" w14:textId="77777777" w:rsidR="00A20502" w:rsidRPr="00D173D5" w:rsidRDefault="00A20502" w:rsidP="00487A0E">
            <w:pPr>
              <w:rPr>
                <w:rFonts w:ascii="Arial" w:hAnsi="Arial" w:cs="Arial"/>
                <w:sz w:val="20"/>
                <w:szCs w:val="20"/>
              </w:rPr>
            </w:pPr>
            <w:r w:rsidRPr="00D173D5">
              <w:rPr>
                <w:rFonts w:ascii="Arial" w:hAnsi="Arial" w:cs="Arial"/>
                <w:sz w:val="20"/>
                <w:szCs w:val="20"/>
              </w:rPr>
              <w:t>Centrix</w:t>
            </w:r>
          </w:p>
        </w:tc>
        <w:tc>
          <w:tcPr>
            <w:tcW w:w="1701" w:type="dxa"/>
            <w:tcBorders>
              <w:top w:val="single" w:sz="6" w:space="0" w:color="004150"/>
              <w:bottom w:val="none" w:sz="0" w:space="0" w:color="auto"/>
            </w:tcBorders>
          </w:tcPr>
          <w:p w14:paraId="5EB65589" w14:textId="77777777" w:rsidR="00A20502" w:rsidRPr="00D173D5" w:rsidRDefault="00A20502" w:rsidP="00CF40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w:t>
            </w:r>
          </w:p>
        </w:tc>
        <w:tc>
          <w:tcPr>
            <w:tcW w:w="1843" w:type="dxa"/>
            <w:tcBorders>
              <w:top w:val="single" w:sz="6" w:space="0" w:color="004150"/>
              <w:bottom w:val="none" w:sz="0" w:space="0" w:color="auto"/>
            </w:tcBorders>
          </w:tcPr>
          <w:p w14:paraId="13FC568B" w14:textId="77777777" w:rsidR="00A20502" w:rsidRPr="00D173D5" w:rsidRDefault="00A20502" w:rsidP="00CF40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70%</w:t>
            </w:r>
          </w:p>
        </w:tc>
        <w:tc>
          <w:tcPr>
            <w:tcW w:w="2693" w:type="dxa"/>
            <w:tcBorders>
              <w:top w:val="single" w:sz="6" w:space="0" w:color="004150"/>
              <w:bottom w:val="none" w:sz="0" w:space="0" w:color="auto"/>
              <w:right w:val="none" w:sz="0" w:space="0" w:color="auto"/>
            </w:tcBorders>
          </w:tcPr>
          <w:p w14:paraId="5290D568" w14:textId="4692992A" w:rsidR="00A20502" w:rsidRPr="00D173D5" w:rsidRDefault="00C31A4D" w:rsidP="00CF40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5.9</w:t>
            </w:r>
          </w:p>
        </w:tc>
      </w:tr>
      <w:tr w:rsidR="00A20502" w:rsidRPr="00D173D5" w14:paraId="2DE04D62" w14:textId="77777777" w:rsidTr="00CF40F6">
        <w:trPr>
          <w:trHeight w:val="268"/>
        </w:trPr>
        <w:tc>
          <w:tcPr>
            <w:cnfStyle w:val="001000000000" w:firstRow="0" w:lastRow="0" w:firstColumn="1" w:lastColumn="0" w:oddVBand="0" w:evenVBand="0" w:oddHBand="0" w:evenHBand="0" w:firstRowFirstColumn="0" w:firstRowLastColumn="0" w:lastRowFirstColumn="0" w:lastRowLastColumn="0"/>
            <w:tcW w:w="2400" w:type="dxa"/>
          </w:tcPr>
          <w:p w14:paraId="5A1907DA" w14:textId="77777777" w:rsidR="00A20502" w:rsidRPr="00D173D5" w:rsidRDefault="00A20502" w:rsidP="00487A0E">
            <w:pPr>
              <w:rPr>
                <w:rFonts w:ascii="Arial" w:hAnsi="Arial" w:cs="Arial"/>
                <w:sz w:val="20"/>
                <w:szCs w:val="20"/>
              </w:rPr>
            </w:pPr>
            <w:r>
              <w:rPr>
                <w:rFonts w:ascii="Arial" w:hAnsi="Arial" w:cs="Arial"/>
                <w:sz w:val="20"/>
                <w:szCs w:val="20"/>
              </w:rPr>
              <w:t>Equifax</w:t>
            </w:r>
          </w:p>
        </w:tc>
        <w:tc>
          <w:tcPr>
            <w:tcW w:w="1701" w:type="dxa"/>
          </w:tcPr>
          <w:p w14:paraId="0D4F2B3D" w14:textId="77777777" w:rsidR="00A20502" w:rsidRPr="00D173D5" w:rsidRDefault="00A20502" w:rsidP="00CF40F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w:t>
            </w:r>
          </w:p>
        </w:tc>
        <w:tc>
          <w:tcPr>
            <w:tcW w:w="1843" w:type="dxa"/>
          </w:tcPr>
          <w:p w14:paraId="313A6BFF" w14:textId="77777777" w:rsidR="00A20502" w:rsidRPr="00D173D5" w:rsidRDefault="00A20502" w:rsidP="00CF40F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90%</w:t>
            </w:r>
          </w:p>
        </w:tc>
        <w:tc>
          <w:tcPr>
            <w:tcW w:w="2693" w:type="dxa"/>
          </w:tcPr>
          <w:p w14:paraId="294DEF41" w14:textId="24CF030C" w:rsidR="00A20502" w:rsidRPr="00D173D5" w:rsidRDefault="00FD6FF2" w:rsidP="00CF40F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5.6</w:t>
            </w:r>
          </w:p>
        </w:tc>
      </w:tr>
      <w:tr w:rsidR="00A20502" w:rsidRPr="00D173D5" w14:paraId="38264AB2" w14:textId="77777777" w:rsidTr="00CF40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00" w:type="dxa"/>
            <w:tcBorders>
              <w:top w:val="none" w:sz="0" w:space="0" w:color="auto"/>
              <w:left w:val="none" w:sz="0" w:space="0" w:color="auto"/>
              <w:bottom w:val="none" w:sz="0" w:space="0" w:color="auto"/>
            </w:tcBorders>
          </w:tcPr>
          <w:p w14:paraId="110567FE" w14:textId="77777777" w:rsidR="00A20502" w:rsidRPr="00D173D5" w:rsidRDefault="00A20502" w:rsidP="00487A0E">
            <w:pPr>
              <w:rPr>
                <w:rFonts w:ascii="Arial" w:hAnsi="Arial" w:cs="Arial"/>
                <w:sz w:val="20"/>
                <w:szCs w:val="20"/>
              </w:rPr>
            </w:pPr>
            <w:r>
              <w:rPr>
                <w:rFonts w:ascii="Arial" w:hAnsi="Arial" w:cs="Arial"/>
                <w:sz w:val="20"/>
                <w:szCs w:val="20"/>
              </w:rPr>
              <w:t>Equifax Alert Service</w:t>
            </w:r>
          </w:p>
        </w:tc>
        <w:tc>
          <w:tcPr>
            <w:tcW w:w="1701" w:type="dxa"/>
            <w:tcBorders>
              <w:top w:val="none" w:sz="0" w:space="0" w:color="auto"/>
              <w:bottom w:val="none" w:sz="0" w:space="0" w:color="auto"/>
            </w:tcBorders>
          </w:tcPr>
          <w:p w14:paraId="17734861" w14:textId="77777777" w:rsidR="00A20502" w:rsidRPr="00D173D5" w:rsidRDefault="00A20502" w:rsidP="00CF40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w:t>
            </w:r>
          </w:p>
        </w:tc>
        <w:tc>
          <w:tcPr>
            <w:tcW w:w="1843" w:type="dxa"/>
            <w:tcBorders>
              <w:top w:val="none" w:sz="0" w:space="0" w:color="auto"/>
              <w:bottom w:val="none" w:sz="0" w:space="0" w:color="auto"/>
            </w:tcBorders>
          </w:tcPr>
          <w:p w14:paraId="3CAC6131" w14:textId="77777777" w:rsidR="00A20502" w:rsidRPr="00D173D5" w:rsidRDefault="00A20502" w:rsidP="00CF40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100%</w:t>
            </w:r>
          </w:p>
        </w:tc>
        <w:tc>
          <w:tcPr>
            <w:tcW w:w="2693" w:type="dxa"/>
            <w:tcBorders>
              <w:top w:val="none" w:sz="0" w:space="0" w:color="auto"/>
              <w:bottom w:val="none" w:sz="0" w:space="0" w:color="auto"/>
              <w:right w:val="none" w:sz="0" w:space="0" w:color="auto"/>
            </w:tcBorders>
          </w:tcPr>
          <w:p w14:paraId="3C19783B" w14:textId="146CF03D" w:rsidR="00A20502" w:rsidRPr="00D173D5" w:rsidRDefault="00A20502" w:rsidP="00CF40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w:t>
            </w:r>
            <w:r w:rsidR="005D0F5A">
              <w:rPr>
                <w:rFonts w:ascii="Arial" w:hAnsi="Arial" w:cs="Arial"/>
                <w:sz w:val="20"/>
                <w:szCs w:val="20"/>
              </w:rPr>
              <w:t>.0</w:t>
            </w:r>
          </w:p>
        </w:tc>
      </w:tr>
      <w:tr w:rsidR="00A20502" w:rsidRPr="00D173D5" w14:paraId="69C82A08" w14:textId="77777777" w:rsidTr="00CF40F6">
        <w:trPr>
          <w:trHeight w:val="268"/>
        </w:trPr>
        <w:tc>
          <w:tcPr>
            <w:cnfStyle w:val="001000000000" w:firstRow="0" w:lastRow="0" w:firstColumn="1" w:lastColumn="0" w:oddVBand="0" w:evenVBand="0" w:oddHBand="0" w:evenHBand="0" w:firstRowFirstColumn="0" w:firstRowLastColumn="0" w:lastRowFirstColumn="0" w:lastRowLastColumn="0"/>
            <w:tcW w:w="2400" w:type="dxa"/>
          </w:tcPr>
          <w:p w14:paraId="300C71A5" w14:textId="712EBE7F" w:rsidR="00A20502" w:rsidRPr="00D173D5" w:rsidRDefault="00BA10FA" w:rsidP="00487A0E">
            <w:pPr>
              <w:rPr>
                <w:rFonts w:ascii="Arial" w:hAnsi="Arial" w:cs="Arial"/>
                <w:sz w:val="20"/>
                <w:szCs w:val="20"/>
              </w:rPr>
            </w:pPr>
            <w:r>
              <w:rPr>
                <w:rFonts w:ascii="Arial" w:hAnsi="Arial" w:cs="Arial"/>
                <w:sz w:val="20"/>
                <w:szCs w:val="20"/>
              </w:rPr>
              <w:t>i</w:t>
            </w:r>
            <w:r w:rsidR="00A20502">
              <w:rPr>
                <w:rFonts w:ascii="Arial" w:hAnsi="Arial" w:cs="Arial"/>
                <w:sz w:val="20"/>
                <w:szCs w:val="20"/>
              </w:rPr>
              <w:t>llion</w:t>
            </w:r>
          </w:p>
        </w:tc>
        <w:tc>
          <w:tcPr>
            <w:tcW w:w="1701" w:type="dxa"/>
          </w:tcPr>
          <w:p w14:paraId="68709EC1" w14:textId="540ADFAD" w:rsidR="00A20502" w:rsidRPr="00D173D5" w:rsidRDefault="00A20502" w:rsidP="00CF40F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w:t>
            </w:r>
            <w:r w:rsidR="009026E6">
              <w:rPr>
                <w:rStyle w:val="FootnoteReference"/>
                <w:rFonts w:ascii="Arial" w:hAnsi="Arial" w:cs="Arial"/>
                <w:sz w:val="20"/>
                <w:szCs w:val="20"/>
              </w:rPr>
              <w:footnoteReference w:id="3"/>
            </w:r>
          </w:p>
        </w:tc>
        <w:tc>
          <w:tcPr>
            <w:tcW w:w="1843" w:type="dxa"/>
          </w:tcPr>
          <w:p w14:paraId="43874DD2" w14:textId="77777777" w:rsidR="00A20502" w:rsidRPr="00D173D5" w:rsidRDefault="00A20502" w:rsidP="00CF40F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56%</w:t>
            </w:r>
          </w:p>
        </w:tc>
        <w:tc>
          <w:tcPr>
            <w:tcW w:w="2693" w:type="dxa"/>
          </w:tcPr>
          <w:p w14:paraId="38C146DC" w14:textId="2DFE6B98" w:rsidR="00A20502" w:rsidRPr="00D173D5" w:rsidRDefault="00C31A4D" w:rsidP="00CF40F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4.7</w:t>
            </w:r>
          </w:p>
        </w:tc>
      </w:tr>
      <w:bookmarkEnd w:id="4"/>
    </w:tbl>
    <w:p w14:paraId="3F015304" w14:textId="77777777" w:rsidR="00A20502" w:rsidRDefault="00A20502" w:rsidP="00A20502">
      <w:pPr>
        <w:spacing w:after="0"/>
        <w:rPr>
          <w:rFonts w:ascii="Arial" w:hAnsi="Arial" w:cs="Arial"/>
          <w:sz w:val="20"/>
          <w:szCs w:val="20"/>
        </w:rPr>
      </w:pPr>
    </w:p>
    <w:p w14:paraId="3304D29B" w14:textId="47447B02" w:rsidR="009F5308" w:rsidRDefault="009F5308" w:rsidP="00403AE8">
      <w:pPr>
        <w:spacing w:after="0"/>
        <w:jc w:val="both"/>
        <w:rPr>
          <w:rFonts w:ascii="Arial" w:hAnsi="Arial" w:cs="Arial"/>
        </w:rPr>
      </w:pPr>
      <w:r>
        <w:rPr>
          <w:rFonts w:ascii="Arial" w:hAnsi="Arial" w:cs="Arial"/>
        </w:rPr>
        <w:t xml:space="preserve">Credit reporters may make a reasonable charge (up to $10) </w:t>
      </w:r>
      <w:r w:rsidR="00C20B70">
        <w:rPr>
          <w:rFonts w:ascii="Arial" w:hAnsi="Arial" w:cs="Arial"/>
        </w:rPr>
        <w:t xml:space="preserve">to cover the cost of providing </w:t>
      </w:r>
      <w:r>
        <w:rPr>
          <w:rFonts w:ascii="Arial" w:hAnsi="Arial" w:cs="Arial"/>
        </w:rPr>
        <w:t>expedited report</w:t>
      </w:r>
      <w:r w:rsidR="00C20B70">
        <w:rPr>
          <w:rFonts w:ascii="Arial" w:hAnsi="Arial" w:cs="Arial"/>
        </w:rPr>
        <w:t xml:space="preserve">s to </w:t>
      </w:r>
      <w:r>
        <w:rPr>
          <w:rFonts w:ascii="Arial" w:hAnsi="Arial" w:cs="Arial"/>
        </w:rPr>
        <w:t>consumer</w:t>
      </w:r>
      <w:r w:rsidR="00C20B70">
        <w:rPr>
          <w:rFonts w:ascii="Arial" w:hAnsi="Arial" w:cs="Arial"/>
        </w:rPr>
        <w:t>s</w:t>
      </w:r>
      <w:r>
        <w:rPr>
          <w:rFonts w:ascii="Arial" w:hAnsi="Arial" w:cs="Arial"/>
        </w:rPr>
        <w:t xml:space="preserve"> need</w:t>
      </w:r>
      <w:r w:rsidR="00C20B70">
        <w:rPr>
          <w:rFonts w:ascii="Arial" w:hAnsi="Arial" w:cs="Arial"/>
        </w:rPr>
        <w:t>ing</w:t>
      </w:r>
      <w:r w:rsidRPr="009F5308">
        <w:rPr>
          <w:rFonts w:ascii="Arial" w:hAnsi="Arial" w:cs="Arial"/>
        </w:rPr>
        <w:t xml:space="preserve"> access </w:t>
      </w:r>
      <w:r>
        <w:rPr>
          <w:rFonts w:ascii="Arial" w:hAnsi="Arial" w:cs="Arial"/>
        </w:rPr>
        <w:t xml:space="preserve">to their credit information </w:t>
      </w:r>
      <w:r w:rsidRPr="009F5308">
        <w:rPr>
          <w:rFonts w:ascii="Arial" w:hAnsi="Arial" w:cs="Arial"/>
        </w:rPr>
        <w:t>within 5 working days</w:t>
      </w:r>
      <w:r w:rsidR="007E1C26">
        <w:rPr>
          <w:rFonts w:ascii="Arial" w:hAnsi="Arial" w:cs="Arial"/>
        </w:rPr>
        <w:t>,</w:t>
      </w:r>
      <w:r w:rsidR="00B973CD">
        <w:rPr>
          <w:rFonts w:ascii="Arial" w:hAnsi="Arial" w:cs="Arial"/>
        </w:rPr>
        <w:t xml:space="preserve"> </w:t>
      </w:r>
      <w:r w:rsidR="007E1C26">
        <w:rPr>
          <w:rFonts w:ascii="Arial" w:hAnsi="Arial" w:cs="Arial"/>
        </w:rPr>
        <w:t xml:space="preserve">for example where access is required </w:t>
      </w:r>
      <w:r w:rsidR="00B973CD">
        <w:rPr>
          <w:rFonts w:ascii="Arial" w:hAnsi="Arial" w:cs="Arial"/>
        </w:rPr>
        <w:t>faster than the 20 working days prescribed for free access.</w:t>
      </w:r>
    </w:p>
    <w:p w14:paraId="1BAE43DD" w14:textId="77777777" w:rsidR="009F5308" w:rsidRDefault="009F5308" w:rsidP="00403AE8">
      <w:pPr>
        <w:spacing w:after="0"/>
        <w:jc w:val="both"/>
        <w:rPr>
          <w:rFonts w:ascii="Arial" w:hAnsi="Arial" w:cs="Arial"/>
        </w:rPr>
      </w:pPr>
    </w:p>
    <w:p w14:paraId="304465AA" w14:textId="3F1AC219" w:rsidR="00705C96" w:rsidRDefault="003F28E3" w:rsidP="00403AE8">
      <w:pPr>
        <w:spacing w:after="0"/>
        <w:jc w:val="both"/>
        <w:rPr>
          <w:rFonts w:ascii="Arial" w:hAnsi="Arial" w:cs="Arial"/>
        </w:rPr>
      </w:pPr>
      <w:r>
        <w:rPr>
          <w:rFonts w:ascii="Arial" w:hAnsi="Arial" w:cs="Arial"/>
        </w:rPr>
        <w:t>C</w:t>
      </w:r>
      <w:r w:rsidR="00296D7B">
        <w:rPr>
          <w:rFonts w:ascii="Arial" w:hAnsi="Arial" w:cs="Arial"/>
        </w:rPr>
        <w:t xml:space="preserve">redit reporters </w:t>
      </w:r>
      <w:r>
        <w:rPr>
          <w:rFonts w:ascii="Arial" w:hAnsi="Arial" w:cs="Arial"/>
        </w:rPr>
        <w:t>are</w:t>
      </w:r>
      <w:r w:rsidR="00296D7B">
        <w:rPr>
          <w:rFonts w:ascii="Arial" w:hAnsi="Arial" w:cs="Arial"/>
        </w:rPr>
        <w:t xml:space="preserve"> often failing to meet </w:t>
      </w:r>
      <w:r>
        <w:rPr>
          <w:rFonts w:ascii="Arial" w:hAnsi="Arial" w:cs="Arial"/>
        </w:rPr>
        <w:t xml:space="preserve">the </w:t>
      </w:r>
      <w:r w:rsidRPr="003F28E3">
        <w:rPr>
          <w:rFonts w:ascii="Arial" w:hAnsi="Arial" w:cs="Arial"/>
        </w:rPr>
        <w:t>5 working day</w:t>
      </w:r>
      <w:r>
        <w:rPr>
          <w:rFonts w:ascii="Arial" w:hAnsi="Arial" w:cs="Arial"/>
        </w:rPr>
        <w:t xml:space="preserve"> </w:t>
      </w:r>
      <w:r w:rsidR="00296D7B">
        <w:rPr>
          <w:rFonts w:ascii="Arial" w:hAnsi="Arial" w:cs="Arial"/>
        </w:rPr>
        <w:t>timeliness requirement</w:t>
      </w:r>
      <w:r w:rsidR="008352AD">
        <w:rPr>
          <w:rFonts w:ascii="Arial" w:hAnsi="Arial" w:cs="Arial"/>
        </w:rPr>
        <w:t xml:space="preserve"> for expedited reports</w:t>
      </w:r>
      <w:r>
        <w:rPr>
          <w:rFonts w:ascii="Arial" w:hAnsi="Arial" w:cs="Arial"/>
        </w:rPr>
        <w:t xml:space="preserve">. </w:t>
      </w:r>
      <w:r w:rsidR="00987285">
        <w:rPr>
          <w:rFonts w:ascii="Arial" w:hAnsi="Arial" w:cs="Arial"/>
        </w:rPr>
        <w:t>i</w:t>
      </w:r>
      <w:r>
        <w:rPr>
          <w:rFonts w:ascii="Arial" w:hAnsi="Arial" w:cs="Arial"/>
        </w:rPr>
        <w:t xml:space="preserve">llion proved to be the poorest performer with only 5 of the 9 reports being provided </w:t>
      </w:r>
      <w:r w:rsidR="000F0C91">
        <w:rPr>
          <w:rFonts w:ascii="Arial" w:hAnsi="Arial" w:cs="Arial"/>
        </w:rPr>
        <w:t>within</w:t>
      </w:r>
      <w:r>
        <w:rPr>
          <w:rFonts w:ascii="Arial" w:hAnsi="Arial" w:cs="Arial"/>
        </w:rPr>
        <w:t xml:space="preserve"> time.</w:t>
      </w:r>
    </w:p>
    <w:p w14:paraId="4AFD057F" w14:textId="77777777" w:rsidR="003F28E3" w:rsidRDefault="003F28E3" w:rsidP="00403AE8">
      <w:pPr>
        <w:spacing w:after="0"/>
        <w:jc w:val="both"/>
        <w:rPr>
          <w:rFonts w:ascii="Arial" w:hAnsi="Arial" w:cs="Arial"/>
        </w:rPr>
      </w:pPr>
    </w:p>
    <w:p w14:paraId="67C8B1B3" w14:textId="12B9D4A7" w:rsidR="003F28E3" w:rsidRDefault="008352AD" w:rsidP="00403AE8">
      <w:pPr>
        <w:spacing w:after="0"/>
        <w:jc w:val="both"/>
        <w:rPr>
          <w:rFonts w:ascii="Arial" w:hAnsi="Arial" w:cs="Arial"/>
        </w:rPr>
      </w:pPr>
      <w:r>
        <w:rPr>
          <w:rFonts w:ascii="Arial" w:hAnsi="Arial" w:cs="Arial"/>
        </w:rPr>
        <w:t>T</w:t>
      </w:r>
      <w:r w:rsidR="003F28E3">
        <w:rPr>
          <w:rFonts w:ascii="Arial" w:hAnsi="Arial" w:cs="Arial"/>
        </w:rPr>
        <w:t xml:space="preserve">he </w:t>
      </w:r>
      <w:r w:rsidR="003F28E3" w:rsidRPr="003F28E3">
        <w:rPr>
          <w:rFonts w:ascii="Arial" w:hAnsi="Arial" w:cs="Arial"/>
        </w:rPr>
        <w:t xml:space="preserve">Equifax My Credit Alert monthly report and credit score </w:t>
      </w:r>
      <w:r w:rsidR="003F28E3">
        <w:rPr>
          <w:rFonts w:ascii="Arial" w:hAnsi="Arial" w:cs="Arial"/>
        </w:rPr>
        <w:t xml:space="preserve">is a </w:t>
      </w:r>
      <w:r>
        <w:rPr>
          <w:rFonts w:ascii="Arial" w:hAnsi="Arial" w:cs="Arial"/>
        </w:rPr>
        <w:t xml:space="preserve">new </w:t>
      </w:r>
      <w:r w:rsidR="003F28E3">
        <w:rPr>
          <w:rFonts w:ascii="Arial" w:hAnsi="Arial" w:cs="Arial"/>
        </w:rPr>
        <w:t xml:space="preserve">service </w:t>
      </w:r>
      <w:r>
        <w:rPr>
          <w:rFonts w:ascii="Arial" w:hAnsi="Arial" w:cs="Arial"/>
        </w:rPr>
        <w:t>(</w:t>
      </w:r>
      <w:r w:rsidR="00F40890">
        <w:rPr>
          <w:rFonts w:ascii="Arial" w:hAnsi="Arial" w:cs="Arial"/>
        </w:rPr>
        <w:t>different to the expedited</w:t>
      </w:r>
      <w:r>
        <w:rPr>
          <w:rFonts w:ascii="Arial" w:hAnsi="Arial" w:cs="Arial"/>
        </w:rPr>
        <w:t xml:space="preserve"> service</w:t>
      </w:r>
      <w:r w:rsidR="00F40890">
        <w:rPr>
          <w:rFonts w:ascii="Arial" w:hAnsi="Arial" w:cs="Arial"/>
        </w:rPr>
        <w:t xml:space="preserve">) </w:t>
      </w:r>
      <w:r w:rsidR="003F28E3">
        <w:rPr>
          <w:rFonts w:ascii="Arial" w:hAnsi="Arial" w:cs="Arial"/>
        </w:rPr>
        <w:t xml:space="preserve">provided for a </w:t>
      </w:r>
      <w:r w:rsidR="003F28E3" w:rsidRPr="003F28E3">
        <w:rPr>
          <w:rFonts w:ascii="Arial" w:hAnsi="Arial" w:cs="Arial"/>
        </w:rPr>
        <w:t xml:space="preserve">$7.95 </w:t>
      </w:r>
      <w:r w:rsidR="003F28E3">
        <w:rPr>
          <w:rFonts w:ascii="Arial" w:hAnsi="Arial" w:cs="Arial"/>
        </w:rPr>
        <w:t xml:space="preserve">monthly fee. </w:t>
      </w:r>
      <w:r w:rsidR="000F0C91">
        <w:rPr>
          <w:rFonts w:ascii="Arial" w:hAnsi="Arial" w:cs="Arial"/>
        </w:rPr>
        <w:t>Credit</w:t>
      </w:r>
      <w:r w:rsidR="003F28E3">
        <w:rPr>
          <w:rFonts w:ascii="Arial" w:hAnsi="Arial" w:cs="Arial"/>
        </w:rPr>
        <w:t xml:space="preserve"> reports </w:t>
      </w:r>
      <w:r w:rsidR="000F0C91">
        <w:rPr>
          <w:rFonts w:ascii="Arial" w:hAnsi="Arial" w:cs="Arial"/>
        </w:rPr>
        <w:t>requested through</w:t>
      </w:r>
      <w:r w:rsidR="003F28E3">
        <w:rPr>
          <w:rFonts w:ascii="Arial" w:hAnsi="Arial" w:cs="Arial"/>
        </w:rPr>
        <w:t xml:space="preserve"> this service were </w:t>
      </w:r>
      <w:r w:rsidR="000F0C91">
        <w:rPr>
          <w:rFonts w:ascii="Arial" w:hAnsi="Arial" w:cs="Arial"/>
        </w:rPr>
        <w:t xml:space="preserve">all </w:t>
      </w:r>
      <w:r w:rsidR="003F28E3">
        <w:rPr>
          <w:rFonts w:ascii="Arial" w:hAnsi="Arial" w:cs="Arial"/>
        </w:rPr>
        <w:t xml:space="preserve">provided </w:t>
      </w:r>
      <w:r w:rsidR="000F0C91">
        <w:rPr>
          <w:rFonts w:ascii="Arial" w:hAnsi="Arial" w:cs="Arial"/>
        </w:rPr>
        <w:t>within one day</w:t>
      </w:r>
      <w:r w:rsidR="003F28E3">
        <w:rPr>
          <w:rFonts w:ascii="Arial" w:hAnsi="Arial" w:cs="Arial"/>
        </w:rPr>
        <w:t xml:space="preserve"> indicating that </w:t>
      </w:r>
      <w:r w:rsidR="000F0C91">
        <w:rPr>
          <w:rFonts w:ascii="Arial" w:hAnsi="Arial" w:cs="Arial"/>
        </w:rPr>
        <w:t>Equifax has the capability to provide reports quickly</w:t>
      </w:r>
      <w:r w:rsidR="00B14D62">
        <w:rPr>
          <w:rFonts w:ascii="Arial" w:hAnsi="Arial" w:cs="Arial"/>
        </w:rPr>
        <w:t xml:space="preserve">. </w:t>
      </w:r>
    </w:p>
    <w:p w14:paraId="195614B2" w14:textId="77777777" w:rsidR="001235ED" w:rsidRDefault="001235ED" w:rsidP="00403AE8">
      <w:pPr>
        <w:spacing w:after="0"/>
        <w:jc w:val="both"/>
        <w:rPr>
          <w:rFonts w:ascii="Arial" w:hAnsi="Arial" w:cs="Arial"/>
        </w:rPr>
      </w:pPr>
    </w:p>
    <w:p w14:paraId="76C2B586" w14:textId="77DE1343" w:rsidR="00BA5987" w:rsidRPr="00AE6F27" w:rsidRDefault="001235ED" w:rsidP="00403AE8">
      <w:pPr>
        <w:jc w:val="both"/>
        <w:rPr>
          <w:rFonts w:ascii="Arial" w:eastAsiaTheme="majorEastAsia" w:hAnsi="Arial" w:cs="Arial"/>
          <w:bCs/>
        </w:rPr>
      </w:pPr>
      <w:r>
        <w:rPr>
          <w:rFonts w:ascii="Arial" w:hAnsi="Arial" w:cs="Arial"/>
        </w:rPr>
        <w:t xml:space="preserve">From 1 July 2019, </w:t>
      </w:r>
      <w:r w:rsidRPr="001235ED">
        <w:rPr>
          <w:rFonts w:ascii="Arial" w:hAnsi="Arial" w:cs="Arial"/>
        </w:rPr>
        <w:t>the Code will require credit reporters to</w:t>
      </w:r>
      <w:r w:rsidR="004B724F">
        <w:rPr>
          <w:rFonts w:ascii="Arial" w:hAnsi="Arial" w:cs="Arial"/>
        </w:rPr>
        <w:t xml:space="preserve"> provide an </w:t>
      </w:r>
      <w:r w:rsidR="00E84AB4">
        <w:rPr>
          <w:rFonts w:ascii="Arial" w:hAnsi="Arial" w:cs="Arial"/>
        </w:rPr>
        <w:t xml:space="preserve">expedited </w:t>
      </w:r>
      <w:r w:rsidR="004B724F">
        <w:rPr>
          <w:rFonts w:ascii="Arial" w:hAnsi="Arial" w:cs="Arial"/>
        </w:rPr>
        <w:t>credit report</w:t>
      </w:r>
      <w:r w:rsidRPr="001235ED">
        <w:rPr>
          <w:rFonts w:ascii="Arial" w:hAnsi="Arial" w:cs="Arial"/>
        </w:rPr>
        <w:t xml:space="preserve"> within </w:t>
      </w:r>
      <w:r>
        <w:rPr>
          <w:rFonts w:ascii="Arial" w:hAnsi="Arial" w:cs="Arial"/>
        </w:rPr>
        <w:t>3</w:t>
      </w:r>
      <w:r w:rsidRPr="001235ED">
        <w:rPr>
          <w:rFonts w:ascii="Arial" w:hAnsi="Arial" w:cs="Arial"/>
        </w:rPr>
        <w:t xml:space="preserve"> working days</w:t>
      </w:r>
      <w:r w:rsidR="005E01B3">
        <w:rPr>
          <w:rFonts w:ascii="Arial" w:hAnsi="Arial" w:cs="Arial"/>
        </w:rPr>
        <w:t xml:space="preserve"> (currently 5 working days)</w:t>
      </w:r>
      <w:r w:rsidR="004B724F">
        <w:rPr>
          <w:rFonts w:ascii="Arial" w:hAnsi="Arial" w:cs="Arial"/>
        </w:rPr>
        <w:t xml:space="preserve"> to </w:t>
      </w:r>
      <w:r w:rsidR="004B724F" w:rsidRPr="004B724F">
        <w:rPr>
          <w:rFonts w:ascii="Arial" w:hAnsi="Arial" w:cs="Arial"/>
        </w:rPr>
        <w:t xml:space="preserve">support </w:t>
      </w:r>
      <w:r w:rsidR="00FC4F9B">
        <w:rPr>
          <w:rFonts w:ascii="Arial" w:hAnsi="Arial" w:cs="Arial"/>
        </w:rPr>
        <w:t>faster</w:t>
      </w:r>
      <w:r w:rsidR="00670382">
        <w:rPr>
          <w:rFonts w:ascii="Arial" w:hAnsi="Arial" w:cs="Arial"/>
        </w:rPr>
        <w:t xml:space="preserve"> </w:t>
      </w:r>
      <w:r w:rsidR="004B724F" w:rsidRPr="004B724F">
        <w:rPr>
          <w:rFonts w:ascii="Arial" w:hAnsi="Arial" w:cs="Arial"/>
        </w:rPr>
        <w:t>consumer access when that is required.</w:t>
      </w:r>
      <w:r>
        <w:rPr>
          <w:rFonts w:ascii="Arial" w:hAnsi="Arial" w:cs="Arial"/>
        </w:rPr>
        <w:t xml:space="preserve"> </w:t>
      </w:r>
      <w:bookmarkStart w:id="5" w:name="_Hlk2883753"/>
      <w:r w:rsidR="007D4996" w:rsidRPr="007D4996">
        <w:rPr>
          <w:rFonts w:ascii="Arial" w:hAnsi="Arial" w:cs="Arial"/>
        </w:rPr>
        <w:t>Th</w:t>
      </w:r>
      <w:r w:rsidR="004B724F">
        <w:rPr>
          <w:rFonts w:ascii="Arial" w:hAnsi="Arial" w:cs="Arial"/>
        </w:rPr>
        <w:t>e tightened timeframe</w:t>
      </w:r>
      <w:r w:rsidR="007D4996" w:rsidRPr="007D4996">
        <w:rPr>
          <w:rFonts w:ascii="Arial" w:hAnsi="Arial" w:cs="Arial"/>
        </w:rPr>
        <w:t xml:space="preserve"> is in proportion with the reduction in the outer</w:t>
      </w:r>
      <w:r w:rsidR="007D4996">
        <w:rPr>
          <w:rFonts w:ascii="Arial" w:hAnsi="Arial" w:cs="Arial"/>
        </w:rPr>
        <w:t xml:space="preserve"> </w:t>
      </w:r>
      <w:r w:rsidR="007D4996" w:rsidRPr="00AE6F27">
        <w:rPr>
          <w:rFonts w:ascii="Arial" w:eastAsiaTheme="majorEastAsia" w:hAnsi="Arial" w:cs="Arial"/>
          <w:bCs/>
        </w:rPr>
        <w:t xml:space="preserve">time limit </w:t>
      </w:r>
      <w:r w:rsidR="004B724F" w:rsidRPr="00AE6F27">
        <w:rPr>
          <w:rFonts w:ascii="Arial" w:eastAsiaTheme="majorEastAsia" w:hAnsi="Arial" w:cs="Arial"/>
          <w:bCs/>
        </w:rPr>
        <w:t xml:space="preserve">from 20 to 10 working days </w:t>
      </w:r>
      <w:r w:rsidR="007D4996" w:rsidRPr="00AE6F27">
        <w:rPr>
          <w:rFonts w:ascii="Arial" w:eastAsiaTheme="majorEastAsia" w:hAnsi="Arial" w:cs="Arial"/>
          <w:bCs/>
        </w:rPr>
        <w:t xml:space="preserve">for </w:t>
      </w:r>
      <w:r w:rsidR="004B724F" w:rsidRPr="00AE6F27">
        <w:rPr>
          <w:rFonts w:ascii="Arial" w:eastAsiaTheme="majorEastAsia" w:hAnsi="Arial" w:cs="Arial"/>
          <w:bCs/>
        </w:rPr>
        <w:t>the standard service.</w:t>
      </w:r>
      <w:r w:rsidR="00FC6188" w:rsidRPr="00AE6F27">
        <w:rPr>
          <w:rFonts w:ascii="Arial" w:eastAsiaTheme="majorEastAsia" w:hAnsi="Arial" w:cs="Arial"/>
          <w:bCs/>
        </w:rPr>
        <w:t xml:space="preserve"> </w:t>
      </w:r>
    </w:p>
    <w:p w14:paraId="26BACD0B" w14:textId="77777777" w:rsidR="00041A1E" w:rsidRPr="00AE6F27" w:rsidRDefault="00050AE8" w:rsidP="00403AE8">
      <w:pPr>
        <w:jc w:val="both"/>
        <w:rPr>
          <w:rFonts w:ascii="Arial" w:hAnsi="Arial" w:cs="Arial"/>
          <w:b/>
          <w:color w:val="E15F55"/>
          <w:sz w:val="24"/>
          <w:szCs w:val="24"/>
        </w:rPr>
      </w:pPr>
      <w:r w:rsidRPr="00AE6F27">
        <w:rPr>
          <w:rFonts w:ascii="Arial" w:hAnsi="Arial" w:cs="Arial"/>
          <w:b/>
          <w:color w:val="E15F55"/>
          <w:sz w:val="24"/>
          <w:szCs w:val="24"/>
        </w:rPr>
        <w:t>Free services and c</w:t>
      </w:r>
      <w:r w:rsidR="00041A1E" w:rsidRPr="00AE6F27">
        <w:rPr>
          <w:rFonts w:ascii="Arial" w:hAnsi="Arial" w:cs="Arial"/>
          <w:b/>
          <w:color w:val="E15F55"/>
          <w:sz w:val="24"/>
          <w:szCs w:val="24"/>
        </w:rPr>
        <w:t>harging</w:t>
      </w:r>
    </w:p>
    <w:bookmarkEnd w:id="5"/>
    <w:p w14:paraId="6758E01B" w14:textId="1EDA3216" w:rsidR="0051787F" w:rsidRDefault="00B14D62" w:rsidP="00403AE8">
      <w:pPr>
        <w:jc w:val="both"/>
        <w:rPr>
          <w:rFonts w:ascii="Arial" w:hAnsi="Arial" w:cs="Arial"/>
        </w:rPr>
      </w:pPr>
      <w:r>
        <w:rPr>
          <w:rFonts w:ascii="Arial" w:hAnsi="Arial" w:cs="Arial"/>
        </w:rPr>
        <w:t>We asked e</w:t>
      </w:r>
      <w:r w:rsidR="004C5BA2">
        <w:rPr>
          <w:rFonts w:ascii="Arial" w:hAnsi="Arial" w:cs="Arial"/>
        </w:rPr>
        <w:t>ach p</w:t>
      </w:r>
      <w:r w:rsidR="00FC4F9B">
        <w:rPr>
          <w:rFonts w:ascii="Arial" w:hAnsi="Arial" w:cs="Arial"/>
        </w:rPr>
        <w:t>articipant</w:t>
      </w:r>
      <w:r w:rsidR="004C5BA2">
        <w:rPr>
          <w:rFonts w:ascii="Arial" w:hAnsi="Arial" w:cs="Arial"/>
        </w:rPr>
        <w:t xml:space="preserve"> requesting a credit report through the credit reporter website if it was </w:t>
      </w:r>
      <w:r w:rsidR="00050AE8" w:rsidRPr="00050AE8">
        <w:rPr>
          <w:rFonts w:ascii="Arial" w:hAnsi="Arial" w:cs="Arial"/>
        </w:rPr>
        <w:t xml:space="preserve">clear </w:t>
      </w:r>
      <w:r w:rsidR="004C5BA2">
        <w:rPr>
          <w:rFonts w:ascii="Arial" w:hAnsi="Arial" w:cs="Arial"/>
        </w:rPr>
        <w:t>they</w:t>
      </w:r>
      <w:r w:rsidR="004C5BA2" w:rsidRPr="004C5BA2">
        <w:rPr>
          <w:rFonts w:ascii="Arial" w:hAnsi="Arial" w:cs="Arial"/>
        </w:rPr>
        <w:t xml:space="preserve"> </w:t>
      </w:r>
      <w:r>
        <w:rPr>
          <w:rFonts w:ascii="Arial" w:hAnsi="Arial" w:cs="Arial"/>
        </w:rPr>
        <w:t>could</w:t>
      </w:r>
      <w:r w:rsidR="004C5BA2" w:rsidRPr="004C5BA2">
        <w:rPr>
          <w:rFonts w:ascii="Arial" w:hAnsi="Arial" w:cs="Arial"/>
        </w:rPr>
        <w:t xml:space="preserve"> access a free standard report or credit score</w:t>
      </w:r>
      <w:r w:rsidR="004C5BA2">
        <w:rPr>
          <w:rFonts w:ascii="Arial" w:hAnsi="Arial" w:cs="Arial"/>
        </w:rPr>
        <w:t>.</w:t>
      </w:r>
    </w:p>
    <w:p w14:paraId="579A6617" w14:textId="7C16AF0F" w:rsidR="00050AE8" w:rsidRDefault="005E01B3" w:rsidP="00403AE8">
      <w:pPr>
        <w:spacing w:after="0"/>
        <w:jc w:val="both"/>
        <w:rPr>
          <w:rFonts w:ascii="Arial" w:hAnsi="Arial" w:cs="Arial"/>
        </w:rPr>
      </w:pPr>
      <w:r>
        <w:rPr>
          <w:rFonts w:ascii="Arial" w:hAnsi="Arial" w:cs="Arial"/>
        </w:rPr>
        <w:t xml:space="preserve">Feedback from participants suggests </w:t>
      </w:r>
      <w:r w:rsidR="00B14D62">
        <w:rPr>
          <w:rFonts w:ascii="Arial" w:hAnsi="Arial" w:cs="Arial"/>
        </w:rPr>
        <w:t xml:space="preserve">Equifax and </w:t>
      </w:r>
      <w:r w:rsidR="00BA10FA">
        <w:rPr>
          <w:rFonts w:ascii="Arial" w:hAnsi="Arial" w:cs="Arial"/>
        </w:rPr>
        <w:t>i</w:t>
      </w:r>
      <w:r w:rsidR="00B14D62">
        <w:rPr>
          <w:rFonts w:ascii="Arial" w:hAnsi="Arial" w:cs="Arial"/>
        </w:rPr>
        <w:t xml:space="preserve">llion need to do more to make it clear that a free credit report service is available. </w:t>
      </w:r>
    </w:p>
    <w:p w14:paraId="0D46D32E" w14:textId="77777777" w:rsidR="00E97E51" w:rsidRDefault="00E97E51" w:rsidP="00403AE8">
      <w:pPr>
        <w:spacing w:after="0"/>
        <w:jc w:val="both"/>
        <w:rPr>
          <w:rFonts w:ascii="Arial" w:hAnsi="Arial" w:cs="Arial"/>
        </w:rPr>
      </w:pPr>
    </w:p>
    <w:tbl>
      <w:tblPr>
        <w:tblStyle w:val="LightList-Accent1"/>
        <w:tblpPr w:leftFromText="180" w:rightFromText="180" w:vertAnchor="text" w:horzAnchor="margin" w:tblpX="88" w:tblpY="78"/>
        <w:tblW w:w="4243" w:type="dxa"/>
        <w:tblBorders>
          <w:top w:val="single" w:sz="8" w:space="0" w:color="004150"/>
          <w:left w:val="single" w:sz="8" w:space="0" w:color="004150"/>
          <w:bottom w:val="single" w:sz="8" w:space="0" w:color="004150"/>
          <w:right w:val="single" w:sz="8" w:space="0" w:color="004150"/>
          <w:insideH w:val="single" w:sz="8" w:space="0" w:color="004150"/>
          <w:insideV w:val="single" w:sz="8" w:space="0" w:color="004150"/>
        </w:tblBorders>
        <w:tblLook w:val="04A0" w:firstRow="1" w:lastRow="0" w:firstColumn="1" w:lastColumn="0" w:noHBand="0" w:noVBand="1"/>
      </w:tblPr>
      <w:tblGrid>
        <w:gridCol w:w="2400"/>
        <w:gridCol w:w="1843"/>
      </w:tblGrid>
      <w:tr w:rsidR="004C5BA2" w:rsidRPr="00D173D5" w14:paraId="05193C00" w14:textId="77777777" w:rsidTr="00403AE8">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00" w:type="dxa"/>
            <w:shd w:val="clear" w:color="auto" w:fill="004150"/>
          </w:tcPr>
          <w:p w14:paraId="3D53E4DE" w14:textId="0A7DEC3C" w:rsidR="004C5BA2" w:rsidRPr="00D173D5" w:rsidRDefault="004C5BA2" w:rsidP="00403AE8">
            <w:pPr>
              <w:rPr>
                <w:rFonts w:ascii="Arial" w:hAnsi="Arial" w:cs="Arial"/>
                <w:sz w:val="20"/>
                <w:szCs w:val="20"/>
              </w:rPr>
            </w:pPr>
            <w:r w:rsidRPr="00D173D5">
              <w:rPr>
                <w:rFonts w:ascii="Arial" w:hAnsi="Arial" w:cs="Arial"/>
                <w:sz w:val="20"/>
                <w:szCs w:val="20"/>
              </w:rPr>
              <w:t>Credit reporter</w:t>
            </w:r>
          </w:p>
        </w:tc>
        <w:tc>
          <w:tcPr>
            <w:tcW w:w="1843" w:type="dxa"/>
            <w:shd w:val="clear" w:color="auto" w:fill="004150"/>
          </w:tcPr>
          <w:p w14:paraId="567FEFA4" w14:textId="77777777" w:rsidR="004C5BA2" w:rsidRPr="00D173D5" w:rsidRDefault="004C5BA2" w:rsidP="00403AE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Access to free report clear</w:t>
            </w:r>
          </w:p>
        </w:tc>
      </w:tr>
      <w:tr w:rsidR="004C5BA2" w:rsidRPr="00D173D5" w14:paraId="039999BB" w14:textId="77777777" w:rsidTr="00403A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00" w:type="dxa"/>
            <w:tcBorders>
              <w:top w:val="none" w:sz="0" w:space="0" w:color="auto"/>
              <w:left w:val="none" w:sz="0" w:space="0" w:color="auto"/>
              <w:bottom w:val="none" w:sz="0" w:space="0" w:color="auto"/>
            </w:tcBorders>
          </w:tcPr>
          <w:p w14:paraId="341F822D" w14:textId="77777777" w:rsidR="004C5BA2" w:rsidRPr="00D173D5" w:rsidRDefault="004C5BA2" w:rsidP="00403AE8">
            <w:pPr>
              <w:rPr>
                <w:rFonts w:ascii="Arial" w:hAnsi="Arial" w:cs="Arial"/>
                <w:sz w:val="20"/>
                <w:szCs w:val="20"/>
              </w:rPr>
            </w:pPr>
            <w:r w:rsidRPr="00D173D5">
              <w:rPr>
                <w:rFonts w:ascii="Arial" w:hAnsi="Arial" w:cs="Arial"/>
                <w:sz w:val="20"/>
                <w:szCs w:val="20"/>
              </w:rPr>
              <w:t>Centrix</w:t>
            </w:r>
          </w:p>
        </w:tc>
        <w:tc>
          <w:tcPr>
            <w:tcW w:w="1843" w:type="dxa"/>
            <w:tcBorders>
              <w:top w:val="none" w:sz="0" w:space="0" w:color="auto"/>
              <w:bottom w:val="none" w:sz="0" w:space="0" w:color="auto"/>
              <w:right w:val="none" w:sz="0" w:space="0" w:color="auto"/>
            </w:tcBorders>
          </w:tcPr>
          <w:p w14:paraId="37D1B856" w14:textId="77777777" w:rsidR="004C5BA2" w:rsidRPr="00D173D5" w:rsidRDefault="0077464C" w:rsidP="00403A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93%</w:t>
            </w:r>
          </w:p>
        </w:tc>
      </w:tr>
      <w:tr w:rsidR="004C5BA2" w:rsidRPr="00D173D5" w14:paraId="0D6FF996" w14:textId="77777777" w:rsidTr="00403AE8">
        <w:trPr>
          <w:trHeight w:val="268"/>
        </w:trPr>
        <w:tc>
          <w:tcPr>
            <w:cnfStyle w:val="001000000000" w:firstRow="0" w:lastRow="0" w:firstColumn="1" w:lastColumn="0" w:oddVBand="0" w:evenVBand="0" w:oddHBand="0" w:evenHBand="0" w:firstRowFirstColumn="0" w:firstRowLastColumn="0" w:lastRowFirstColumn="0" w:lastRowLastColumn="0"/>
            <w:tcW w:w="2400" w:type="dxa"/>
          </w:tcPr>
          <w:p w14:paraId="36AB5049" w14:textId="77777777" w:rsidR="004C5BA2" w:rsidRPr="00D173D5" w:rsidRDefault="004C5BA2" w:rsidP="00403AE8">
            <w:pPr>
              <w:rPr>
                <w:rFonts w:ascii="Arial" w:hAnsi="Arial" w:cs="Arial"/>
                <w:sz w:val="20"/>
                <w:szCs w:val="20"/>
              </w:rPr>
            </w:pPr>
            <w:r>
              <w:rPr>
                <w:rFonts w:ascii="Arial" w:hAnsi="Arial" w:cs="Arial"/>
                <w:sz w:val="20"/>
                <w:szCs w:val="20"/>
              </w:rPr>
              <w:t>Equifax</w:t>
            </w:r>
          </w:p>
        </w:tc>
        <w:tc>
          <w:tcPr>
            <w:tcW w:w="1843" w:type="dxa"/>
          </w:tcPr>
          <w:p w14:paraId="6533C095" w14:textId="77777777" w:rsidR="004C5BA2" w:rsidRPr="00D173D5" w:rsidRDefault="0077464C" w:rsidP="00403A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77%</w:t>
            </w:r>
          </w:p>
        </w:tc>
      </w:tr>
      <w:tr w:rsidR="004C5BA2" w:rsidRPr="00D173D5" w14:paraId="4DE330DF" w14:textId="77777777" w:rsidTr="00403A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00" w:type="dxa"/>
            <w:tcBorders>
              <w:top w:val="none" w:sz="0" w:space="0" w:color="auto"/>
              <w:left w:val="none" w:sz="0" w:space="0" w:color="auto"/>
              <w:bottom w:val="none" w:sz="0" w:space="0" w:color="auto"/>
            </w:tcBorders>
          </w:tcPr>
          <w:p w14:paraId="1BC6A0B9" w14:textId="414015C8" w:rsidR="004C5BA2" w:rsidRPr="00D173D5" w:rsidRDefault="00BA10FA" w:rsidP="00403AE8">
            <w:pPr>
              <w:rPr>
                <w:rFonts w:ascii="Arial" w:hAnsi="Arial" w:cs="Arial"/>
                <w:sz w:val="20"/>
                <w:szCs w:val="20"/>
              </w:rPr>
            </w:pPr>
            <w:r>
              <w:rPr>
                <w:rFonts w:ascii="Arial" w:hAnsi="Arial" w:cs="Arial"/>
                <w:sz w:val="20"/>
                <w:szCs w:val="20"/>
              </w:rPr>
              <w:t>i</w:t>
            </w:r>
            <w:r w:rsidR="004C5BA2">
              <w:rPr>
                <w:rFonts w:ascii="Arial" w:hAnsi="Arial" w:cs="Arial"/>
                <w:sz w:val="20"/>
                <w:szCs w:val="20"/>
              </w:rPr>
              <w:t>llion</w:t>
            </w:r>
          </w:p>
        </w:tc>
        <w:tc>
          <w:tcPr>
            <w:tcW w:w="1843" w:type="dxa"/>
            <w:tcBorders>
              <w:top w:val="none" w:sz="0" w:space="0" w:color="auto"/>
              <w:bottom w:val="none" w:sz="0" w:space="0" w:color="auto"/>
              <w:right w:val="none" w:sz="0" w:space="0" w:color="auto"/>
            </w:tcBorders>
          </w:tcPr>
          <w:p w14:paraId="2E1099A6" w14:textId="77777777" w:rsidR="004C5BA2" w:rsidRPr="00D173D5" w:rsidRDefault="0077464C" w:rsidP="00403A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83%</w:t>
            </w:r>
          </w:p>
        </w:tc>
      </w:tr>
    </w:tbl>
    <w:p w14:paraId="1FD6C45D" w14:textId="77777777" w:rsidR="004C5BA2" w:rsidRDefault="004C5BA2" w:rsidP="00753D5D">
      <w:pPr>
        <w:jc w:val="both"/>
        <w:rPr>
          <w:rFonts w:ascii="Arial" w:hAnsi="Arial" w:cs="Arial"/>
        </w:rPr>
      </w:pPr>
    </w:p>
    <w:p w14:paraId="0D37E61A" w14:textId="77777777" w:rsidR="0051787F" w:rsidRDefault="0051787F" w:rsidP="00602E4C">
      <w:pPr>
        <w:spacing w:after="0" w:line="240" w:lineRule="auto"/>
        <w:rPr>
          <w:rFonts w:ascii="Arial" w:hAnsi="Arial" w:cs="Arial"/>
        </w:rPr>
      </w:pPr>
    </w:p>
    <w:p w14:paraId="34831D68" w14:textId="77777777" w:rsidR="005E01B3" w:rsidRDefault="005E01B3" w:rsidP="00602E4C">
      <w:pPr>
        <w:spacing w:after="0" w:line="240" w:lineRule="auto"/>
        <w:rPr>
          <w:rFonts w:ascii="Arial" w:hAnsi="Arial" w:cs="Arial"/>
        </w:rPr>
      </w:pPr>
    </w:p>
    <w:p w14:paraId="250BEDD5" w14:textId="77777777" w:rsidR="00E959AE" w:rsidRDefault="00E959AE" w:rsidP="00753D5D">
      <w:pPr>
        <w:jc w:val="both"/>
        <w:rPr>
          <w:rFonts w:ascii="Arial" w:hAnsi="Arial" w:cs="Arial"/>
        </w:rPr>
      </w:pPr>
    </w:p>
    <w:p w14:paraId="54CD9475" w14:textId="0245C636" w:rsidR="00B14D62" w:rsidRPr="00AE6F27" w:rsidRDefault="00195DCC" w:rsidP="00403AE8">
      <w:pPr>
        <w:jc w:val="both"/>
        <w:rPr>
          <w:rFonts w:ascii="Arial" w:eastAsiaTheme="majorEastAsia" w:hAnsi="Arial" w:cs="Arial"/>
          <w:bCs/>
        </w:rPr>
      </w:pPr>
      <w:r w:rsidRPr="00135D69">
        <w:rPr>
          <w:rFonts w:ascii="Arial" w:hAnsi="Arial" w:cs="Arial"/>
        </w:rPr>
        <w:lastRenderedPageBreak/>
        <w:t>Credit reporters</w:t>
      </w:r>
      <w:r w:rsidR="00041A1E" w:rsidRPr="00135D69">
        <w:rPr>
          <w:rFonts w:ascii="Arial" w:hAnsi="Arial" w:cs="Arial"/>
        </w:rPr>
        <w:t xml:space="preserve"> </w:t>
      </w:r>
      <w:r w:rsidR="002F5953" w:rsidRPr="00135D69">
        <w:rPr>
          <w:rFonts w:ascii="Arial" w:hAnsi="Arial" w:cs="Arial"/>
        </w:rPr>
        <w:t xml:space="preserve">can charge up to $10 to </w:t>
      </w:r>
      <w:r w:rsidR="00CB704E" w:rsidRPr="00135D69">
        <w:rPr>
          <w:rFonts w:ascii="Arial" w:hAnsi="Arial" w:cs="Arial"/>
        </w:rPr>
        <w:t xml:space="preserve">provide </w:t>
      </w:r>
      <w:r w:rsidR="00E2700C">
        <w:rPr>
          <w:rFonts w:ascii="Arial" w:hAnsi="Arial" w:cs="Arial"/>
        </w:rPr>
        <w:t>expedited</w:t>
      </w:r>
      <w:r w:rsidR="00E2700C" w:rsidRPr="00135D69">
        <w:rPr>
          <w:rFonts w:ascii="Arial" w:hAnsi="Arial" w:cs="Arial"/>
        </w:rPr>
        <w:t xml:space="preserve"> </w:t>
      </w:r>
      <w:r w:rsidR="002F5953" w:rsidRPr="00135D69">
        <w:rPr>
          <w:rFonts w:ascii="Arial" w:hAnsi="Arial" w:cs="Arial"/>
        </w:rPr>
        <w:t xml:space="preserve">reports </w:t>
      </w:r>
      <w:r w:rsidR="009807D2" w:rsidRPr="00135D69">
        <w:rPr>
          <w:rFonts w:ascii="Arial" w:hAnsi="Arial" w:cs="Arial"/>
        </w:rPr>
        <w:t>with</w:t>
      </w:r>
      <w:r w:rsidR="002F5953" w:rsidRPr="00135D69">
        <w:rPr>
          <w:rFonts w:ascii="Arial" w:hAnsi="Arial" w:cs="Arial"/>
        </w:rPr>
        <w:t xml:space="preserve">in </w:t>
      </w:r>
      <w:r w:rsidR="00A01C61" w:rsidRPr="00135D69">
        <w:rPr>
          <w:rFonts w:ascii="Arial" w:hAnsi="Arial" w:cs="Arial"/>
        </w:rPr>
        <w:t>5</w:t>
      </w:r>
      <w:r w:rsidR="006E63BA" w:rsidRPr="00135D69">
        <w:rPr>
          <w:rFonts w:ascii="Arial" w:hAnsi="Arial" w:cs="Arial"/>
        </w:rPr>
        <w:t xml:space="preserve"> </w:t>
      </w:r>
      <w:r w:rsidR="009807D2" w:rsidRPr="00135D69">
        <w:rPr>
          <w:rFonts w:ascii="Arial" w:hAnsi="Arial" w:cs="Arial"/>
        </w:rPr>
        <w:t xml:space="preserve">working </w:t>
      </w:r>
      <w:r w:rsidR="006E63BA" w:rsidRPr="00135D69">
        <w:rPr>
          <w:rFonts w:ascii="Arial" w:hAnsi="Arial" w:cs="Arial"/>
        </w:rPr>
        <w:t>days</w:t>
      </w:r>
      <w:r w:rsidR="002F5953" w:rsidRPr="00135D69">
        <w:rPr>
          <w:rFonts w:ascii="Arial" w:hAnsi="Arial" w:cs="Arial"/>
        </w:rPr>
        <w:t>.</w:t>
      </w:r>
      <w:r w:rsidR="00041A1E" w:rsidRPr="00135D69">
        <w:rPr>
          <w:rFonts w:ascii="Arial" w:hAnsi="Arial" w:cs="Arial"/>
        </w:rPr>
        <w:t xml:space="preserve"> </w:t>
      </w:r>
      <w:r w:rsidR="00386D87" w:rsidRPr="00135D69">
        <w:rPr>
          <w:rFonts w:ascii="Arial" w:hAnsi="Arial" w:cs="Arial"/>
        </w:rPr>
        <w:t xml:space="preserve">All three </w:t>
      </w:r>
      <w:r w:rsidRPr="00135D69">
        <w:rPr>
          <w:rFonts w:ascii="Arial" w:hAnsi="Arial" w:cs="Arial"/>
        </w:rPr>
        <w:t xml:space="preserve">national </w:t>
      </w:r>
      <w:r w:rsidR="00421A79" w:rsidRPr="00135D69">
        <w:rPr>
          <w:rFonts w:ascii="Arial" w:hAnsi="Arial" w:cs="Arial"/>
        </w:rPr>
        <w:t xml:space="preserve">consumer </w:t>
      </w:r>
      <w:r w:rsidRPr="00135D69">
        <w:rPr>
          <w:rFonts w:ascii="Arial" w:hAnsi="Arial" w:cs="Arial"/>
        </w:rPr>
        <w:t>credit reporters</w:t>
      </w:r>
      <w:r w:rsidR="00386D87" w:rsidRPr="00135D69">
        <w:rPr>
          <w:rFonts w:ascii="Arial" w:hAnsi="Arial" w:cs="Arial"/>
        </w:rPr>
        <w:t xml:space="preserve"> </w:t>
      </w:r>
      <w:r w:rsidR="006E63BA" w:rsidRPr="00135D69">
        <w:rPr>
          <w:rFonts w:ascii="Arial" w:hAnsi="Arial" w:cs="Arial"/>
        </w:rPr>
        <w:t xml:space="preserve">complied </w:t>
      </w:r>
      <w:r w:rsidR="00753D5D">
        <w:rPr>
          <w:rFonts w:ascii="Arial" w:hAnsi="Arial" w:cs="Arial"/>
        </w:rPr>
        <w:t>with this part of the Code.</w:t>
      </w:r>
      <w:bookmarkStart w:id="6" w:name="_Hlk2880870"/>
      <w:r w:rsidR="00A20502">
        <w:rPr>
          <w:rFonts w:ascii="Arial" w:hAnsi="Arial" w:cs="Arial"/>
        </w:rPr>
        <w:t xml:space="preserve"> </w:t>
      </w:r>
      <w:r w:rsidR="00E2700C">
        <w:rPr>
          <w:rFonts w:ascii="Arial" w:hAnsi="Arial" w:cs="Arial"/>
        </w:rPr>
        <w:t>Expedited</w:t>
      </w:r>
      <w:r w:rsidR="00E2700C" w:rsidRPr="00B14D62">
        <w:rPr>
          <w:rFonts w:ascii="Arial" w:hAnsi="Arial" w:cs="Arial"/>
        </w:rPr>
        <w:t xml:space="preserve"> </w:t>
      </w:r>
      <w:r w:rsidR="00B14D62" w:rsidRPr="00B14D62">
        <w:rPr>
          <w:rFonts w:ascii="Arial" w:hAnsi="Arial" w:cs="Arial"/>
        </w:rPr>
        <w:t>report</w:t>
      </w:r>
      <w:r w:rsidR="00A20502">
        <w:rPr>
          <w:rFonts w:ascii="Arial" w:hAnsi="Arial" w:cs="Arial"/>
        </w:rPr>
        <w:t>s</w:t>
      </w:r>
      <w:r w:rsidR="00B14D62" w:rsidRPr="00B14D62">
        <w:rPr>
          <w:rFonts w:ascii="Arial" w:hAnsi="Arial" w:cs="Arial"/>
        </w:rPr>
        <w:t xml:space="preserve"> </w:t>
      </w:r>
      <w:r w:rsidR="00B14D62" w:rsidRPr="00AE6F27">
        <w:rPr>
          <w:rFonts w:ascii="Arial" w:eastAsiaTheme="majorEastAsia" w:hAnsi="Arial" w:cs="Arial"/>
          <w:bCs/>
        </w:rPr>
        <w:t xml:space="preserve">from </w:t>
      </w:r>
      <w:r w:rsidR="00BA10FA" w:rsidRPr="00AE6F27">
        <w:rPr>
          <w:rFonts w:ascii="Arial" w:eastAsiaTheme="majorEastAsia" w:hAnsi="Arial" w:cs="Arial"/>
          <w:bCs/>
        </w:rPr>
        <w:t>i</w:t>
      </w:r>
      <w:r w:rsidR="00B14D62" w:rsidRPr="00AE6F27">
        <w:rPr>
          <w:rFonts w:ascii="Arial" w:eastAsiaTheme="majorEastAsia" w:hAnsi="Arial" w:cs="Arial"/>
          <w:bCs/>
        </w:rPr>
        <w:t>llion cost $10</w:t>
      </w:r>
      <w:r w:rsidR="00A20502" w:rsidRPr="00AE6F27">
        <w:rPr>
          <w:rFonts w:ascii="Arial" w:eastAsiaTheme="majorEastAsia" w:hAnsi="Arial" w:cs="Arial"/>
          <w:bCs/>
        </w:rPr>
        <w:t>,</w:t>
      </w:r>
      <w:r w:rsidR="00B14D62" w:rsidRPr="00AE6F27">
        <w:rPr>
          <w:rFonts w:ascii="Arial" w:eastAsiaTheme="majorEastAsia" w:hAnsi="Arial" w:cs="Arial"/>
          <w:bCs/>
        </w:rPr>
        <w:t xml:space="preserve"> Centrix </w:t>
      </w:r>
      <w:r w:rsidR="00A20502" w:rsidRPr="00AE6F27">
        <w:rPr>
          <w:rFonts w:ascii="Arial" w:eastAsiaTheme="majorEastAsia" w:hAnsi="Arial" w:cs="Arial"/>
          <w:bCs/>
        </w:rPr>
        <w:t>charge</w:t>
      </w:r>
      <w:r w:rsidR="007E1C26">
        <w:rPr>
          <w:rFonts w:ascii="Arial" w:eastAsiaTheme="majorEastAsia" w:hAnsi="Arial" w:cs="Arial"/>
          <w:bCs/>
        </w:rPr>
        <w:t>s</w:t>
      </w:r>
      <w:r w:rsidR="00A20502" w:rsidRPr="00AE6F27">
        <w:rPr>
          <w:rFonts w:ascii="Arial" w:eastAsiaTheme="majorEastAsia" w:hAnsi="Arial" w:cs="Arial"/>
          <w:bCs/>
        </w:rPr>
        <w:t xml:space="preserve"> $5 and </w:t>
      </w:r>
      <w:r w:rsidR="00B14D62" w:rsidRPr="00AE6F27">
        <w:rPr>
          <w:rFonts w:ascii="Arial" w:eastAsiaTheme="majorEastAsia" w:hAnsi="Arial" w:cs="Arial"/>
          <w:bCs/>
        </w:rPr>
        <w:t xml:space="preserve">Equifax </w:t>
      </w:r>
      <w:r w:rsidR="007E1C26">
        <w:rPr>
          <w:rFonts w:ascii="Arial" w:eastAsiaTheme="majorEastAsia" w:hAnsi="Arial" w:cs="Arial"/>
          <w:bCs/>
        </w:rPr>
        <w:t>charges</w:t>
      </w:r>
      <w:r w:rsidR="00B14D62" w:rsidRPr="00AE6F27">
        <w:rPr>
          <w:rFonts w:ascii="Arial" w:eastAsiaTheme="majorEastAsia" w:hAnsi="Arial" w:cs="Arial"/>
          <w:bCs/>
        </w:rPr>
        <w:t xml:space="preserve"> $9.95</w:t>
      </w:r>
      <w:r w:rsidR="00A20502" w:rsidRPr="00AE6F27">
        <w:rPr>
          <w:rFonts w:ascii="Arial" w:eastAsiaTheme="majorEastAsia" w:hAnsi="Arial" w:cs="Arial"/>
          <w:bCs/>
        </w:rPr>
        <w:t>.</w:t>
      </w:r>
    </w:p>
    <w:p w14:paraId="6DC53181" w14:textId="77777777" w:rsidR="0077464C" w:rsidRPr="00AE6F27" w:rsidRDefault="0077464C" w:rsidP="00403AE8">
      <w:pPr>
        <w:jc w:val="both"/>
        <w:rPr>
          <w:rFonts w:ascii="Arial" w:hAnsi="Arial" w:cs="Arial"/>
          <w:b/>
          <w:color w:val="E15F55"/>
          <w:sz w:val="24"/>
          <w:szCs w:val="24"/>
        </w:rPr>
      </w:pPr>
      <w:r w:rsidRPr="00AE6F27">
        <w:rPr>
          <w:rFonts w:ascii="Arial" w:hAnsi="Arial" w:cs="Arial"/>
          <w:b/>
          <w:color w:val="E15F55"/>
          <w:sz w:val="24"/>
          <w:szCs w:val="24"/>
        </w:rPr>
        <w:t>Maximum reporting periods</w:t>
      </w:r>
    </w:p>
    <w:p w14:paraId="41091C5F" w14:textId="0B133FA7" w:rsidR="00A20502" w:rsidRPr="00AE6F27" w:rsidRDefault="00A20502" w:rsidP="00403AE8">
      <w:pPr>
        <w:jc w:val="both"/>
        <w:rPr>
          <w:rFonts w:ascii="Arial" w:eastAsiaTheme="majorEastAsia" w:hAnsi="Arial" w:cs="Arial"/>
          <w:bCs/>
        </w:rPr>
      </w:pPr>
      <w:r w:rsidRPr="00AE6F27">
        <w:rPr>
          <w:rFonts w:ascii="Arial" w:eastAsiaTheme="majorEastAsia" w:hAnsi="Arial" w:cs="Arial"/>
          <w:bCs/>
        </w:rPr>
        <w:t xml:space="preserve">We found no instances of non-compliance with the </w:t>
      </w:r>
      <w:r w:rsidR="00C47B61">
        <w:rPr>
          <w:rFonts w:ascii="Arial" w:eastAsiaTheme="majorEastAsia" w:hAnsi="Arial" w:cs="Arial"/>
          <w:bCs/>
        </w:rPr>
        <w:t>C</w:t>
      </w:r>
      <w:r w:rsidRPr="00AE6F27">
        <w:rPr>
          <w:rFonts w:ascii="Arial" w:eastAsiaTheme="majorEastAsia" w:hAnsi="Arial" w:cs="Arial"/>
          <w:bCs/>
        </w:rPr>
        <w:t>ode requirements.</w:t>
      </w:r>
    </w:p>
    <w:p w14:paraId="159241C1" w14:textId="7C1ECDCC" w:rsidR="00DA1ACF" w:rsidRPr="00DA1ACF" w:rsidRDefault="00DA1ACF" w:rsidP="00403AE8">
      <w:pPr>
        <w:spacing w:after="120"/>
        <w:jc w:val="both"/>
        <w:rPr>
          <w:rFonts w:ascii="Arial" w:hAnsi="Arial" w:cs="Arial"/>
        </w:rPr>
      </w:pPr>
      <w:r>
        <w:rPr>
          <w:rFonts w:ascii="Arial" w:hAnsi="Arial" w:cs="Arial"/>
        </w:rPr>
        <w:t xml:space="preserve">The </w:t>
      </w:r>
      <w:r w:rsidR="00C47B61">
        <w:rPr>
          <w:rFonts w:ascii="Arial" w:hAnsi="Arial" w:cs="Arial"/>
        </w:rPr>
        <w:t>C</w:t>
      </w:r>
      <w:r>
        <w:rPr>
          <w:rFonts w:ascii="Arial" w:hAnsi="Arial" w:cs="Arial"/>
        </w:rPr>
        <w:t xml:space="preserve">ode places time limits for keeping and reporting credit information. </w:t>
      </w:r>
      <w:r w:rsidRPr="00DA1ACF">
        <w:rPr>
          <w:rFonts w:ascii="Arial" w:hAnsi="Arial" w:cs="Arial"/>
        </w:rPr>
        <w:t>Credit reporters can:</w:t>
      </w:r>
    </w:p>
    <w:p w14:paraId="26F14967" w14:textId="6EC140FE" w:rsidR="00DA1ACF" w:rsidRDefault="00DA1ACF" w:rsidP="00403AE8">
      <w:pPr>
        <w:pStyle w:val="ListParagraph"/>
        <w:numPr>
          <w:ilvl w:val="0"/>
          <w:numId w:val="7"/>
        </w:numPr>
        <w:spacing w:after="0"/>
        <w:ind w:left="318" w:hanging="284"/>
        <w:jc w:val="both"/>
        <w:rPr>
          <w:rFonts w:ascii="Arial" w:eastAsiaTheme="majorEastAsia" w:hAnsi="Arial" w:cs="Arial"/>
          <w:bCs/>
        </w:rPr>
      </w:pPr>
      <w:r w:rsidRPr="00DA1ACF">
        <w:rPr>
          <w:rFonts w:ascii="Arial" w:eastAsiaTheme="majorEastAsia" w:hAnsi="Arial" w:cs="Arial"/>
          <w:bCs/>
        </w:rPr>
        <w:t xml:space="preserve">generally disclose </w:t>
      </w:r>
      <w:r w:rsidR="00235B5D">
        <w:rPr>
          <w:rFonts w:ascii="Arial" w:eastAsiaTheme="majorEastAsia" w:hAnsi="Arial" w:cs="Arial"/>
          <w:bCs/>
        </w:rPr>
        <w:t>credit</w:t>
      </w:r>
      <w:r w:rsidRPr="00DA1ACF">
        <w:rPr>
          <w:rFonts w:ascii="Arial" w:eastAsiaTheme="majorEastAsia" w:hAnsi="Arial" w:cs="Arial"/>
          <w:bCs/>
        </w:rPr>
        <w:t xml:space="preserve"> information for 4 to 5 years and keep it </w:t>
      </w:r>
      <w:r w:rsidR="00235B5D">
        <w:rPr>
          <w:rFonts w:ascii="Arial" w:eastAsiaTheme="majorEastAsia" w:hAnsi="Arial" w:cs="Arial"/>
          <w:bCs/>
        </w:rPr>
        <w:t>for</w:t>
      </w:r>
      <w:r w:rsidRPr="00DA1ACF">
        <w:rPr>
          <w:rFonts w:ascii="Arial" w:eastAsiaTheme="majorEastAsia" w:hAnsi="Arial" w:cs="Arial"/>
          <w:bCs/>
        </w:rPr>
        <w:t xml:space="preserve"> one further year;</w:t>
      </w:r>
    </w:p>
    <w:p w14:paraId="06E7392D" w14:textId="0EC2869C" w:rsidR="00693BC3" w:rsidRPr="00DA1ACF" w:rsidRDefault="00A03BCE" w:rsidP="00403AE8">
      <w:pPr>
        <w:pStyle w:val="ListParagraph"/>
        <w:numPr>
          <w:ilvl w:val="0"/>
          <w:numId w:val="7"/>
        </w:numPr>
        <w:spacing w:after="0"/>
        <w:ind w:left="318" w:hanging="284"/>
        <w:jc w:val="both"/>
        <w:rPr>
          <w:rFonts w:ascii="Arial" w:eastAsiaTheme="majorEastAsia" w:hAnsi="Arial" w:cs="Arial"/>
          <w:bCs/>
        </w:rPr>
      </w:pPr>
      <w:r>
        <w:rPr>
          <w:rFonts w:ascii="Arial" w:eastAsiaTheme="majorEastAsia" w:hAnsi="Arial" w:cs="Arial"/>
          <w:bCs/>
        </w:rPr>
        <w:t xml:space="preserve">report on a single bankruptcy or single entry to no asset procedure for 4 years from the date of discharge from bankruptcy or date of discharge from the no asset procedure;  </w:t>
      </w:r>
    </w:p>
    <w:p w14:paraId="1199C86A" w14:textId="77777777" w:rsidR="00DA1ACF" w:rsidRPr="00DA1ACF" w:rsidRDefault="00DA1ACF" w:rsidP="00403AE8">
      <w:pPr>
        <w:pStyle w:val="ListParagraph"/>
        <w:numPr>
          <w:ilvl w:val="0"/>
          <w:numId w:val="7"/>
        </w:numPr>
        <w:spacing w:after="0"/>
        <w:ind w:left="318" w:hanging="284"/>
        <w:jc w:val="both"/>
        <w:rPr>
          <w:rFonts w:ascii="Arial" w:eastAsiaTheme="majorEastAsia" w:hAnsi="Arial" w:cs="Arial"/>
          <w:bCs/>
        </w:rPr>
      </w:pPr>
      <w:r w:rsidRPr="00DA1ACF">
        <w:rPr>
          <w:rFonts w:ascii="Arial" w:eastAsiaTheme="majorEastAsia" w:hAnsi="Arial" w:cs="Arial"/>
          <w:bCs/>
        </w:rPr>
        <w:t>disclose information about your current accounts until two years after those accounts have closed;</w:t>
      </w:r>
    </w:p>
    <w:p w14:paraId="53AA55BC" w14:textId="77777777" w:rsidR="00DA1ACF" w:rsidRPr="00DA1ACF" w:rsidRDefault="00DA1ACF" w:rsidP="00403AE8">
      <w:pPr>
        <w:pStyle w:val="ListParagraph"/>
        <w:numPr>
          <w:ilvl w:val="0"/>
          <w:numId w:val="7"/>
        </w:numPr>
        <w:spacing w:after="0"/>
        <w:ind w:left="318" w:hanging="284"/>
        <w:jc w:val="both"/>
        <w:rPr>
          <w:rFonts w:ascii="Arial" w:eastAsiaTheme="majorEastAsia" w:hAnsi="Arial" w:cs="Arial"/>
          <w:bCs/>
        </w:rPr>
      </w:pPr>
      <w:r w:rsidRPr="00DA1ACF">
        <w:rPr>
          <w:rFonts w:ascii="Arial" w:eastAsiaTheme="majorEastAsia" w:hAnsi="Arial" w:cs="Arial"/>
          <w:bCs/>
        </w:rPr>
        <w:t>keep identification information indefinitely; and</w:t>
      </w:r>
    </w:p>
    <w:p w14:paraId="48A7F539" w14:textId="77777777" w:rsidR="00215ADE" w:rsidRDefault="00DA1ACF" w:rsidP="00403AE8">
      <w:pPr>
        <w:pStyle w:val="ListParagraph"/>
        <w:numPr>
          <w:ilvl w:val="0"/>
          <w:numId w:val="7"/>
        </w:numPr>
        <w:ind w:left="318" w:hanging="284"/>
        <w:jc w:val="both"/>
        <w:rPr>
          <w:rFonts w:ascii="Arial" w:eastAsiaTheme="majorEastAsia" w:hAnsi="Arial" w:cs="Arial"/>
          <w:bCs/>
        </w:rPr>
      </w:pPr>
      <w:r w:rsidRPr="00DA1ACF">
        <w:rPr>
          <w:rFonts w:ascii="Arial" w:eastAsiaTheme="majorEastAsia" w:hAnsi="Arial" w:cs="Arial"/>
          <w:bCs/>
        </w:rPr>
        <w:t>keep information about multiple bankruptcies indefinitely.</w:t>
      </w:r>
    </w:p>
    <w:p w14:paraId="6E776312" w14:textId="27BE1FAA" w:rsidR="003F5137" w:rsidRPr="003F5137" w:rsidRDefault="003F5137" w:rsidP="00403AE8">
      <w:pPr>
        <w:jc w:val="both"/>
        <w:rPr>
          <w:rFonts w:ascii="Arial" w:eastAsiaTheme="majorEastAsia" w:hAnsi="Arial" w:cs="Arial"/>
          <w:bCs/>
        </w:rPr>
      </w:pPr>
      <w:r w:rsidRPr="003F5137">
        <w:rPr>
          <w:rFonts w:ascii="Arial" w:eastAsiaTheme="majorEastAsia" w:hAnsi="Arial" w:cs="Arial"/>
          <w:bCs/>
        </w:rPr>
        <w:t xml:space="preserve">The </w:t>
      </w:r>
      <w:r w:rsidR="00D732DC">
        <w:rPr>
          <w:rFonts w:ascii="Arial" w:eastAsiaTheme="majorEastAsia" w:hAnsi="Arial" w:cs="Arial"/>
          <w:bCs/>
        </w:rPr>
        <w:t xml:space="preserve">maximum reporting period requirements recognise that the usefulness of credit </w:t>
      </w:r>
      <w:r w:rsidRPr="003F5137">
        <w:rPr>
          <w:rFonts w:ascii="Arial" w:eastAsiaTheme="majorEastAsia" w:hAnsi="Arial" w:cs="Arial"/>
          <w:bCs/>
        </w:rPr>
        <w:t xml:space="preserve">information diminishes over time. Once </w:t>
      </w:r>
      <w:r w:rsidR="00002089">
        <w:rPr>
          <w:rFonts w:ascii="Arial" w:eastAsiaTheme="majorEastAsia" w:hAnsi="Arial" w:cs="Arial"/>
          <w:bCs/>
        </w:rPr>
        <w:t>information</w:t>
      </w:r>
      <w:r w:rsidRPr="003F5137">
        <w:rPr>
          <w:rFonts w:ascii="Arial" w:eastAsiaTheme="majorEastAsia" w:hAnsi="Arial" w:cs="Arial"/>
          <w:bCs/>
        </w:rPr>
        <w:t xml:space="preserve"> ceases to be an indicator of current behaviour</w:t>
      </w:r>
      <w:r w:rsidR="00002089">
        <w:rPr>
          <w:rFonts w:ascii="Arial" w:eastAsiaTheme="majorEastAsia" w:hAnsi="Arial" w:cs="Arial"/>
          <w:bCs/>
        </w:rPr>
        <w:t xml:space="preserve"> and holds no relevance</w:t>
      </w:r>
      <w:r w:rsidRPr="003F5137">
        <w:rPr>
          <w:rFonts w:ascii="Arial" w:eastAsiaTheme="majorEastAsia" w:hAnsi="Arial" w:cs="Arial"/>
          <w:bCs/>
        </w:rPr>
        <w:t xml:space="preserve">, retention of </w:t>
      </w:r>
      <w:r w:rsidR="00002089">
        <w:rPr>
          <w:rFonts w:ascii="Arial" w:eastAsiaTheme="majorEastAsia" w:hAnsi="Arial" w:cs="Arial"/>
          <w:bCs/>
        </w:rPr>
        <w:t xml:space="preserve">that </w:t>
      </w:r>
      <w:r w:rsidRPr="003F5137">
        <w:rPr>
          <w:rFonts w:ascii="Arial" w:eastAsiaTheme="majorEastAsia" w:hAnsi="Arial" w:cs="Arial"/>
          <w:bCs/>
        </w:rPr>
        <w:t xml:space="preserve">information </w:t>
      </w:r>
      <w:r w:rsidR="007E1C26">
        <w:rPr>
          <w:rFonts w:ascii="Arial" w:eastAsiaTheme="majorEastAsia" w:hAnsi="Arial" w:cs="Arial"/>
          <w:bCs/>
        </w:rPr>
        <w:t>conflicts with Rule 9</w:t>
      </w:r>
      <w:r w:rsidR="007E1C26">
        <w:rPr>
          <w:rStyle w:val="FootnoteReference"/>
          <w:rFonts w:ascii="Arial" w:eastAsiaTheme="majorEastAsia" w:hAnsi="Arial" w:cs="Arial"/>
          <w:bCs/>
        </w:rPr>
        <w:footnoteReference w:id="4"/>
      </w:r>
      <w:r w:rsidR="007E1C26">
        <w:rPr>
          <w:rFonts w:ascii="Arial" w:eastAsiaTheme="majorEastAsia" w:hAnsi="Arial" w:cs="Arial"/>
          <w:bCs/>
        </w:rPr>
        <w:t xml:space="preserve"> of the Code</w:t>
      </w:r>
      <w:r w:rsidR="00002089">
        <w:rPr>
          <w:rFonts w:ascii="Arial" w:eastAsiaTheme="majorEastAsia" w:hAnsi="Arial" w:cs="Arial"/>
          <w:bCs/>
        </w:rPr>
        <w:t>.</w:t>
      </w:r>
      <w:r w:rsidR="00D732DC">
        <w:rPr>
          <w:rFonts w:ascii="Arial" w:eastAsiaTheme="majorEastAsia" w:hAnsi="Arial" w:cs="Arial"/>
          <w:bCs/>
        </w:rPr>
        <w:t xml:space="preserve"> </w:t>
      </w:r>
    </w:p>
    <w:p w14:paraId="7520A1CC" w14:textId="77777777" w:rsidR="002417B6" w:rsidRPr="00753D5D" w:rsidRDefault="00FB0F60" w:rsidP="00403AE8">
      <w:pPr>
        <w:jc w:val="both"/>
        <w:rPr>
          <w:rFonts w:ascii="Arial" w:hAnsi="Arial" w:cs="Arial"/>
          <w:b/>
          <w:color w:val="E15F55"/>
          <w:sz w:val="24"/>
          <w:szCs w:val="24"/>
        </w:rPr>
      </w:pPr>
      <w:bookmarkStart w:id="7" w:name="_Hlk4065060"/>
      <w:r>
        <w:rPr>
          <w:rFonts w:ascii="Arial" w:hAnsi="Arial" w:cs="Arial"/>
          <w:b/>
          <w:color w:val="E15F55"/>
          <w:sz w:val="24"/>
          <w:szCs w:val="24"/>
        </w:rPr>
        <w:t>Credit score methodology</w:t>
      </w:r>
    </w:p>
    <w:bookmarkEnd w:id="7"/>
    <w:p w14:paraId="7FEBFD7A" w14:textId="77777777" w:rsidR="002417B6" w:rsidRDefault="00002089" w:rsidP="00403AE8">
      <w:pPr>
        <w:jc w:val="both"/>
        <w:rPr>
          <w:rFonts w:ascii="Arial" w:hAnsi="Arial" w:cs="Arial"/>
        </w:rPr>
      </w:pPr>
      <w:r>
        <w:rPr>
          <w:rFonts w:ascii="Arial" w:hAnsi="Arial" w:cs="Arial"/>
        </w:rPr>
        <w:t>To</w:t>
      </w:r>
      <w:r w:rsidR="00F549D3">
        <w:rPr>
          <w:rFonts w:ascii="Arial" w:hAnsi="Arial" w:cs="Arial"/>
        </w:rPr>
        <w:t xml:space="preserve"> assist </w:t>
      </w:r>
      <w:r>
        <w:rPr>
          <w:rFonts w:ascii="Arial" w:hAnsi="Arial" w:cs="Arial"/>
        </w:rPr>
        <w:t xml:space="preserve">a </w:t>
      </w:r>
      <w:r w:rsidR="00F549D3">
        <w:rPr>
          <w:rFonts w:ascii="Arial" w:hAnsi="Arial" w:cs="Arial"/>
        </w:rPr>
        <w:t>consumer in their understanding of the</w:t>
      </w:r>
      <w:r>
        <w:rPr>
          <w:rFonts w:ascii="Arial" w:hAnsi="Arial" w:cs="Arial"/>
        </w:rPr>
        <w:t>ir</w:t>
      </w:r>
      <w:r w:rsidR="00F549D3">
        <w:rPr>
          <w:rFonts w:ascii="Arial" w:hAnsi="Arial" w:cs="Arial"/>
        </w:rPr>
        <w:t xml:space="preserve"> credit score, </w:t>
      </w:r>
      <w:r w:rsidR="00FB0F60">
        <w:rPr>
          <w:rFonts w:ascii="Arial" w:hAnsi="Arial" w:cs="Arial"/>
        </w:rPr>
        <w:t>the Code requires that a credit reporter explain in general terms how the score is derived and the range within which their score is placed.</w:t>
      </w:r>
    </w:p>
    <w:p w14:paraId="1B682097" w14:textId="5D47180A" w:rsidR="00F41BF2" w:rsidRDefault="00F41BF2" w:rsidP="00403AE8">
      <w:pPr>
        <w:jc w:val="both"/>
        <w:rPr>
          <w:rFonts w:ascii="Arial" w:hAnsi="Arial" w:cs="Arial"/>
        </w:rPr>
      </w:pPr>
      <w:r>
        <w:rPr>
          <w:rFonts w:ascii="Arial" w:hAnsi="Arial" w:cs="Arial"/>
        </w:rPr>
        <w:t xml:space="preserve">Centrix and Equifax include a credit score within their credit reports while </w:t>
      </w:r>
      <w:r w:rsidR="00BA10FA">
        <w:rPr>
          <w:rFonts w:ascii="Arial" w:hAnsi="Arial" w:cs="Arial"/>
        </w:rPr>
        <w:t>i</w:t>
      </w:r>
      <w:r>
        <w:rPr>
          <w:rFonts w:ascii="Arial" w:hAnsi="Arial" w:cs="Arial"/>
        </w:rPr>
        <w:t>llion do</w:t>
      </w:r>
      <w:r w:rsidR="00C83A91">
        <w:rPr>
          <w:rFonts w:ascii="Arial" w:hAnsi="Arial" w:cs="Arial"/>
        </w:rPr>
        <w:t>es</w:t>
      </w:r>
      <w:r>
        <w:rPr>
          <w:rFonts w:ascii="Arial" w:hAnsi="Arial" w:cs="Arial"/>
        </w:rPr>
        <w:t xml:space="preserve"> not provide one (</w:t>
      </w:r>
      <w:r w:rsidR="00BA10FA">
        <w:rPr>
          <w:rFonts w:ascii="Arial" w:hAnsi="Arial" w:cs="Arial"/>
        </w:rPr>
        <w:t>i</w:t>
      </w:r>
      <w:r>
        <w:rPr>
          <w:rFonts w:ascii="Arial" w:hAnsi="Arial" w:cs="Arial"/>
        </w:rPr>
        <w:t>llion provide</w:t>
      </w:r>
      <w:r w:rsidR="00C83A91">
        <w:rPr>
          <w:rFonts w:ascii="Arial" w:hAnsi="Arial" w:cs="Arial"/>
        </w:rPr>
        <w:t>s</w:t>
      </w:r>
      <w:r>
        <w:rPr>
          <w:rFonts w:ascii="Arial" w:hAnsi="Arial" w:cs="Arial"/>
        </w:rPr>
        <w:t xml:space="preserve"> a credit score through </w:t>
      </w:r>
      <w:r w:rsidR="00C83A91">
        <w:rPr>
          <w:rFonts w:ascii="Arial" w:hAnsi="Arial" w:cs="Arial"/>
        </w:rPr>
        <w:t>its</w:t>
      </w:r>
      <w:r>
        <w:rPr>
          <w:rFonts w:ascii="Arial" w:hAnsi="Arial" w:cs="Arial"/>
        </w:rPr>
        <w:t xml:space="preserve"> Credit Simple subscriber service that is not currently subject to the Code).</w:t>
      </w:r>
    </w:p>
    <w:p w14:paraId="04B710A8" w14:textId="77777777" w:rsidR="00335FBC" w:rsidRDefault="00335FBC" w:rsidP="00403AE8">
      <w:pPr>
        <w:jc w:val="both"/>
        <w:rPr>
          <w:rFonts w:ascii="Arial" w:hAnsi="Arial" w:cs="Arial"/>
        </w:rPr>
      </w:pPr>
      <w:r>
        <w:rPr>
          <w:rFonts w:ascii="Arial" w:hAnsi="Arial" w:cs="Arial"/>
        </w:rPr>
        <w:t>Centrix provides a useful fact sheet t</w:t>
      </w:r>
      <w:r w:rsidR="00F41BF2">
        <w:rPr>
          <w:rFonts w:ascii="Arial" w:hAnsi="Arial" w:cs="Arial"/>
        </w:rPr>
        <w:t>hat</w:t>
      </w:r>
      <w:r>
        <w:rPr>
          <w:rFonts w:ascii="Arial" w:hAnsi="Arial" w:cs="Arial"/>
        </w:rPr>
        <w:t xml:space="preserve"> accompan</w:t>
      </w:r>
      <w:r w:rsidR="00F41BF2">
        <w:rPr>
          <w:rFonts w:ascii="Arial" w:hAnsi="Arial" w:cs="Arial"/>
        </w:rPr>
        <w:t>ies</w:t>
      </w:r>
      <w:r>
        <w:rPr>
          <w:rFonts w:ascii="Arial" w:hAnsi="Arial" w:cs="Arial"/>
        </w:rPr>
        <w:t xml:space="preserve"> its credit report. The fact sheet explains the factors that contribute to a credit score, where the score sits in relation to other individuals, and what the score means in terms of likely eligibility to credit and other serv</w:t>
      </w:r>
      <w:r w:rsidR="00D34272">
        <w:rPr>
          <w:rFonts w:ascii="Arial" w:hAnsi="Arial" w:cs="Arial"/>
        </w:rPr>
        <w:t>ices.</w:t>
      </w:r>
    </w:p>
    <w:p w14:paraId="7E06C1A9" w14:textId="6D336786" w:rsidR="00F549D3" w:rsidRDefault="00C83A91" w:rsidP="00403AE8">
      <w:pPr>
        <w:jc w:val="both"/>
        <w:rPr>
          <w:rFonts w:ascii="Arial" w:hAnsi="Arial" w:cs="Arial"/>
        </w:rPr>
      </w:pPr>
      <w:r>
        <w:rPr>
          <w:rFonts w:ascii="Arial" w:hAnsi="Arial" w:cs="Arial"/>
        </w:rPr>
        <w:t xml:space="preserve">To meet the Code’s requirements </w:t>
      </w:r>
      <w:r w:rsidR="00002089" w:rsidRPr="00002089">
        <w:rPr>
          <w:rFonts w:ascii="Arial" w:hAnsi="Arial" w:cs="Arial"/>
        </w:rPr>
        <w:t xml:space="preserve">Equifax should explain in more detail how </w:t>
      </w:r>
      <w:r>
        <w:rPr>
          <w:rFonts w:ascii="Arial" w:hAnsi="Arial" w:cs="Arial"/>
        </w:rPr>
        <w:t>its</w:t>
      </w:r>
      <w:r w:rsidR="00002089" w:rsidRPr="00002089">
        <w:rPr>
          <w:rFonts w:ascii="Arial" w:hAnsi="Arial" w:cs="Arial"/>
        </w:rPr>
        <w:t xml:space="preserve"> score is derived and what can affect the score</w:t>
      </w:r>
      <w:r w:rsidR="00F40890">
        <w:rPr>
          <w:rFonts w:ascii="Arial" w:hAnsi="Arial" w:cs="Arial"/>
        </w:rPr>
        <w:t xml:space="preserve"> to meet the Code’s requirements</w:t>
      </w:r>
      <w:r w:rsidR="00002089" w:rsidRPr="00002089">
        <w:rPr>
          <w:rFonts w:ascii="Arial" w:hAnsi="Arial" w:cs="Arial"/>
        </w:rPr>
        <w:t>.</w:t>
      </w:r>
      <w:r w:rsidR="00002089">
        <w:rPr>
          <w:rFonts w:ascii="Arial" w:hAnsi="Arial" w:cs="Arial"/>
        </w:rPr>
        <w:t xml:space="preserve"> </w:t>
      </w:r>
      <w:r w:rsidR="00D34272">
        <w:rPr>
          <w:rFonts w:ascii="Arial" w:hAnsi="Arial" w:cs="Arial"/>
        </w:rPr>
        <w:t xml:space="preserve">Equifax </w:t>
      </w:r>
      <w:r w:rsidR="00F41BF2">
        <w:rPr>
          <w:rFonts w:ascii="Arial" w:hAnsi="Arial" w:cs="Arial"/>
        </w:rPr>
        <w:t xml:space="preserve">provides the </w:t>
      </w:r>
      <w:r w:rsidR="00D34272">
        <w:rPr>
          <w:rFonts w:ascii="Arial" w:hAnsi="Arial" w:cs="Arial"/>
        </w:rPr>
        <w:t>credit score</w:t>
      </w:r>
      <w:r w:rsidR="00F41BF2">
        <w:rPr>
          <w:rFonts w:ascii="Arial" w:hAnsi="Arial" w:cs="Arial"/>
        </w:rPr>
        <w:t xml:space="preserve"> and </w:t>
      </w:r>
      <w:r w:rsidR="00F41BF2" w:rsidRPr="00F41BF2">
        <w:rPr>
          <w:rFonts w:ascii="Arial" w:hAnsi="Arial" w:cs="Arial"/>
        </w:rPr>
        <w:t xml:space="preserve">where the score sits in relation to other individuals </w:t>
      </w:r>
      <w:r w:rsidR="00D34272">
        <w:rPr>
          <w:rFonts w:ascii="Arial" w:hAnsi="Arial" w:cs="Arial"/>
        </w:rPr>
        <w:t>but explain</w:t>
      </w:r>
      <w:r w:rsidR="00F41BF2">
        <w:rPr>
          <w:rFonts w:ascii="Arial" w:hAnsi="Arial" w:cs="Arial"/>
        </w:rPr>
        <w:t>s</w:t>
      </w:r>
      <w:r w:rsidR="00D34272">
        <w:rPr>
          <w:rFonts w:ascii="Arial" w:hAnsi="Arial" w:cs="Arial"/>
        </w:rPr>
        <w:t xml:space="preserve"> in </w:t>
      </w:r>
      <w:r w:rsidR="00F41BF2">
        <w:rPr>
          <w:rFonts w:ascii="Arial" w:hAnsi="Arial" w:cs="Arial"/>
        </w:rPr>
        <w:t xml:space="preserve">only </w:t>
      </w:r>
      <w:r w:rsidR="00D34272">
        <w:rPr>
          <w:rFonts w:ascii="Arial" w:hAnsi="Arial" w:cs="Arial"/>
        </w:rPr>
        <w:t xml:space="preserve">broad terms that </w:t>
      </w:r>
      <w:r w:rsidR="0064307F">
        <w:rPr>
          <w:rFonts w:ascii="Arial" w:hAnsi="Arial" w:cs="Arial"/>
        </w:rPr>
        <w:t>the</w:t>
      </w:r>
      <w:r w:rsidR="00D34272">
        <w:rPr>
          <w:rFonts w:ascii="Arial" w:hAnsi="Arial" w:cs="Arial"/>
        </w:rPr>
        <w:t xml:space="preserve"> credit score </w:t>
      </w:r>
      <w:r w:rsidR="0064307F">
        <w:rPr>
          <w:rFonts w:ascii="Arial" w:hAnsi="Arial" w:cs="Arial"/>
        </w:rPr>
        <w:t>is</w:t>
      </w:r>
      <w:r w:rsidR="00D34272">
        <w:rPr>
          <w:rFonts w:ascii="Arial" w:hAnsi="Arial" w:cs="Arial"/>
        </w:rPr>
        <w:t xml:space="preserve"> based on past credit experiences and could change </w:t>
      </w:r>
      <w:r w:rsidR="0064307F">
        <w:rPr>
          <w:rFonts w:ascii="Arial" w:hAnsi="Arial" w:cs="Arial"/>
        </w:rPr>
        <w:t>because of</w:t>
      </w:r>
      <w:r w:rsidR="00D34272">
        <w:rPr>
          <w:rFonts w:ascii="Arial" w:hAnsi="Arial" w:cs="Arial"/>
        </w:rPr>
        <w:t xml:space="preserve"> new information added or old information removed from an individual’s credit file. </w:t>
      </w:r>
    </w:p>
    <w:p w14:paraId="64407F48" w14:textId="7FF639B6" w:rsidR="00E00F51" w:rsidRPr="00CF40F6" w:rsidRDefault="00CF40F6" w:rsidP="00403AE8">
      <w:pPr>
        <w:jc w:val="both"/>
        <w:rPr>
          <w:rFonts w:ascii="Arial" w:hAnsi="Arial" w:cs="Arial"/>
          <w:b/>
          <w:i/>
        </w:rPr>
      </w:pPr>
      <w:r w:rsidRPr="00CF40F6">
        <w:rPr>
          <w:rFonts w:ascii="Arial" w:hAnsi="Arial" w:cs="Arial"/>
          <w:b/>
          <w:i/>
        </w:rPr>
        <w:t>C</w:t>
      </w:r>
      <w:r w:rsidR="00E00F51" w:rsidRPr="00CF40F6">
        <w:rPr>
          <w:rFonts w:ascii="Arial" w:hAnsi="Arial" w:cs="Arial"/>
          <w:b/>
          <w:i/>
        </w:rPr>
        <w:t xml:space="preserve">redit score results </w:t>
      </w:r>
      <w:r w:rsidRPr="00CF40F6">
        <w:rPr>
          <w:rFonts w:ascii="Arial" w:hAnsi="Arial" w:cs="Arial"/>
          <w:b/>
          <w:i/>
        </w:rPr>
        <w:t>emphasise the importance of transparency</w:t>
      </w:r>
      <w:r w:rsidR="00E00F51" w:rsidRPr="00CF40F6">
        <w:rPr>
          <w:rFonts w:ascii="Arial" w:hAnsi="Arial" w:cs="Arial"/>
          <w:b/>
          <w:i/>
        </w:rPr>
        <w:t xml:space="preserve"> </w:t>
      </w:r>
    </w:p>
    <w:p w14:paraId="5B716668" w14:textId="28720C1F" w:rsidR="00C83A91" w:rsidRDefault="00C83A91" w:rsidP="00403AE8">
      <w:pPr>
        <w:jc w:val="both"/>
        <w:rPr>
          <w:rFonts w:ascii="Arial" w:hAnsi="Arial" w:cs="Arial"/>
        </w:rPr>
      </w:pPr>
      <w:r w:rsidRPr="00C83A91">
        <w:rPr>
          <w:rFonts w:ascii="Arial" w:hAnsi="Arial" w:cs="Arial"/>
        </w:rPr>
        <w:t xml:space="preserve">All credit reporters have different subscribers from which they source credit information, so the information held by each credit reporter is not all the same. It is important for consumers </w:t>
      </w:r>
      <w:r w:rsidRPr="00C83A91">
        <w:rPr>
          <w:rFonts w:ascii="Arial" w:hAnsi="Arial" w:cs="Arial"/>
        </w:rPr>
        <w:lastRenderedPageBreak/>
        <w:t>to be aware of the credit information held by each credit reporter as this may assist them to understand why they were approved or not approved credit from credit providers.</w:t>
      </w:r>
    </w:p>
    <w:p w14:paraId="195FD5FC" w14:textId="287290F4" w:rsidR="00E00F51" w:rsidRDefault="00E00F51" w:rsidP="00403AE8">
      <w:pPr>
        <w:jc w:val="both"/>
        <w:rPr>
          <w:rFonts w:ascii="Arial" w:hAnsi="Arial" w:cs="Arial"/>
        </w:rPr>
      </w:pPr>
      <w:r>
        <w:rPr>
          <w:rFonts w:ascii="Arial" w:hAnsi="Arial" w:cs="Arial"/>
        </w:rPr>
        <w:t>We compared credit score information</w:t>
      </w:r>
      <w:r w:rsidR="00691855">
        <w:rPr>
          <w:rFonts w:ascii="Arial" w:hAnsi="Arial" w:cs="Arial"/>
        </w:rPr>
        <w:t xml:space="preserve"> for each mystery shopper and found general consistency of scores across the three credit reporters</w:t>
      </w:r>
      <w:r w:rsidR="00CF40F6">
        <w:rPr>
          <w:rFonts w:ascii="Arial" w:hAnsi="Arial" w:cs="Arial"/>
        </w:rPr>
        <w:t>,</w:t>
      </w:r>
      <w:r w:rsidR="00691855">
        <w:rPr>
          <w:rFonts w:ascii="Arial" w:hAnsi="Arial" w:cs="Arial"/>
        </w:rPr>
        <w:t xml:space="preserve"> but with a few outlier results. These outlier</w:t>
      </w:r>
      <w:r w:rsidR="006F4671">
        <w:rPr>
          <w:rFonts w:ascii="Arial" w:hAnsi="Arial" w:cs="Arial"/>
        </w:rPr>
        <w:t xml:space="preserve"> results </w:t>
      </w:r>
      <w:r w:rsidR="00691855">
        <w:rPr>
          <w:rFonts w:ascii="Arial" w:hAnsi="Arial" w:cs="Arial"/>
        </w:rPr>
        <w:t xml:space="preserve">underline the </w:t>
      </w:r>
      <w:r w:rsidR="009947C0">
        <w:rPr>
          <w:rFonts w:ascii="Arial" w:hAnsi="Arial" w:cs="Arial"/>
        </w:rPr>
        <w:t xml:space="preserve">desirability </w:t>
      </w:r>
      <w:r w:rsidR="00691855">
        <w:rPr>
          <w:rFonts w:ascii="Arial" w:hAnsi="Arial" w:cs="Arial"/>
        </w:rPr>
        <w:t xml:space="preserve">for transparency about how credit scores are derived. Consumers can be subject to tangible differences in service offerings based on </w:t>
      </w:r>
      <w:r w:rsidR="00F11A7B">
        <w:rPr>
          <w:rFonts w:ascii="Arial" w:hAnsi="Arial" w:cs="Arial"/>
        </w:rPr>
        <w:t xml:space="preserve">credit scores and </w:t>
      </w:r>
      <w:r w:rsidR="00691855">
        <w:rPr>
          <w:rFonts w:ascii="Arial" w:hAnsi="Arial" w:cs="Arial"/>
        </w:rPr>
        <w:t>the increasing use of risk-based pricing models</w:t>
      </w:r>
      <w:r w:rsidR="00BA136C">
        <w:rPr>
          <w:rFonts w:ascii="Arial" w:hAnsi="Arial" w:cs="Arial"/>
        </w:rPr>
        <w:t xml:space="preserve"> in credit offerings</w:t>
      </w:r>
      <w:r w:rsidR="006F4671">
        <w:rPr>
          <w:rFonts w:ascii="Arial" w:hAnsi="Arial" w:cs="Arial"/>
        </w:rPr>
        <w:t>.</w:t>
      </w:r>
    </w:p>
    <w:p w14:paraId="194F4D3F" w14:textId="4FBE4073" w:rsidR="006D26F8" w:rsidRDefault="00C56C49" w:rsidP="00403AE8">
      <w:pPr>
        <w:jc w:val="both"/>
        <w:rPr>
          <w:rFonts w:ascii="Arial" w:hAnsi="Arial" w:cs="Arial"/>
        </w:rPr>
      </w:pPr>
      <w:r>
        <w:rPr>
          <w:rFonts w:ascii="Arial" w:hAnsi="Arial" w:cs="Arial"/>
        </w:rPr>
        <w:t>To</w:t>
      </w:r>
      <w:r w:rsidR="009C1E4F">
        <w:rPr>
          <w:rFonts w:ascii="Arial" w:hAnsi="Arial" w:cs="Arial"/>
        </w:rPr>
        <w:t xml:space="preserve"> be a responsible lender, c</w:t>
      </w:r>
      <w:r w:rsidR="006D26F8" w:rsidRPr="006D26F8">
        <w:rPr>
          <w:rFonts w:ascii="Arial" w:hAnsi="Arial" w:cs="Arial"/>
        </w:rPr>
        <w:t xml:space="preserve">redit providers </w:t>
      </w:r>
      <w:r w:rsidR="009C1E4F">
        <w:rPr>
          <w:rFonts w:ascii="Arial" w:hAnsi="Arial" w:cs="Arial"/>
        </w:rPr>
        <w:t>should follow</w:t>
      </w:r>
      <w:r w:rsidR="006D26F8" w:rsidRPr="006D26F8">
        <w:rPr>
          <w:rFonts w:ascii="Arial" w:hAnsi="Arial" w:cs="Arial"/>
        </w:rPr>
        <w:t xml:space="preserve"> the responsible lending code</w:t>
      </w:r>
      <w:r w:rsidR="009C1E4F">
        <w:rPr>
          <w:rFonts w:ascii="Arial" w:hAnsi="Arial" w:cs="Arial"/>
        </w:rPr>
        <w:t xml:space="preserve"> issued under the </w:t>
      </w:r>
      <w:r w:rsidR="009C1E4F" w:rsidRPr="009C1E4F">
        <w:rPr>
          <w:rFonts w:ascii="Arial" w:hAnsi="Arial" w:cs="Arial"/>
        </w:rPr>
        <w:t>Credit Contracts and Consumer Finance Act 2003</w:t>
      </w:r>
      <w:r w:rsidR="009C1E4F">
        <w:rPr>
          <w:rFonts w:ascii="Arial" w:hAnsi="Arial" w:cs="Arial"/>
        </w:rPr>
        <w:t>. Th</w:t>
      </w:r>
      <w:r w:rsidR="009C1E4F" w:rsidRPr="009C1E4F">
        <w:rPr>
          <w:rFonts w:ascii="Arial" w:hAnsi="Arial" w:cs="Arial"/>
        </w:rPr>
        <w:t xml:space="preserve">e </w:t>
      </w:r>
      <w:r w:rsidR="009C1E4F">
        <w:rPr>
          <w:rFonts w:ascii="Arial" w:hAnsi="Arial" w:cs="Arial"/>
        </w:rPr>
        <w:t>lending code sets</w:t>
      </w:r>
      <w:r w:rsidR="009C1E4F" w:rsidRPr="009C1E4F">
        <w:rPr>
          <w:rFonts w:ascii="Arial" w:hAnsi="Arial" w:cs="Arial"/>
        </w:rPr>
        <w:t xml:space="preserve"> out processes,</w:t>
      </w:r>
      <w:r w:rsidR="009C1E4F">
        <w:rPr>
          <w:rFonts w:ascii="Arial" w:hAnsi="Arial" w:cs="Arial"/>
        </w:rPr>
        <w:t xml:space="preserve"> </w:t>
      </w:r>
      <w:r w:rsidR="009C1E4F" w:rsidRPr="009C1E4F">
        <w:rPr>
          <w:rFonts w:ascii="Arial" w:hAnsi="Arial" w:cs="Arial"/>
        </w:rPr>
        <w:t>practices or procedures that a lender should follow to comply with the lender responsibility</w:t>
      </w:r>
      <w:r w:rsidR="009C1E4F">
        <w:rPr>
          <w:rFonts w:ascii="Arial" w:hAnsi="Arial" w:cs="Arial"/>
        </w:rPr>
        <w:t xml:space="preserve"> </w:t>
      </w:r>
      <w:r w:rsidR="009C1E4F" w:rsidRPr="009C1E4F">
        <w:rPr>
          <w:rFonts w:ascii="Arial" w:hAnsi="Arial" w:cs="Arial"/>
        </w:rPr>
        <w:t>principles</w:t>
      </w:r>
      <w:r w:rsidR="009C1E4F">
        <w:rPr>
          <w:rFonts w:ascii="Arial" w:hAnsi="Arial" w:cs="Arial"/>
        </w:rPr>
        <w:t>.</w:t>
      </w:r>
    </w:p>
    <w:p w14:paraId="1235C839" w14:textId="77777777" w:rsidR="00F549D3" w:rsidRDefault="00E00F51" w:rsidP="00403AE8">
      <w:pPr>
        <w:jc w:val="both"/>
        <w:rPr>
          <w:rFonts w:ascii="Arial" w:hAnsi="Arial" w:cs="Arial"/>
          <w:b/>
          <w:color w:val="E15F55"/>
          <w:sz w:val="24"/>
          <w:szCs w:val="24"/>
        </w:rPr>
      </w:pPr>
      <w:r>
        <w:rPr>
          <w:rFonts w:ascii="Arial" w:hAnsi="Arial" w:cs="Arial"/>
          <w:b/>
          <w:color w:val="E15F55"/>
          <w:sz w:val="24"/>
          <w:szCs w:val="24"/>
        </w:rPr>
        <w:t>Clear</w:t>
      </w:r>
      <w:r w:rsidR="00002089">
        <w:rPr>
          <w:rFonts w:ascii="Arial" w:hAnsi="Arial" w:cs="Arial"/>
          <w:b/>
          <w:color w:val="E15F55"/>
          <w:sz w:val="24"/>
          <w:szCs w:val="24"/>
        </w:rPr>
        <w:t>er</w:t>
      </w:r>
      <w:r>
        <w:rPr>
          <w:rFonts w:ascii="Arial" w:hAnsi="Arial" w:cs="Arial"/>
          <w:b/>
          <w:color w:val="E15F55"/>
          <w:sz w:val="24"/>
          <w:szCs w:val="24"/>
        </w:rPr>
        <w:t xml:space="preserve"> access right</w:t>
      </w:r>
      <w:r w:rsidR="00D14062">
        <w:rPr>
          <w:rFonts w:ascii="Arial" w:hAnsi="Arial" w:cs="Arial"/>
          <w:b/>
          <w:color w:val="E15F55"/>
          <w:sz w:val="24"/>
          <w:szCs w:val="24"/>
        </w:rPr>
        <w:t xml:space="preserve"> to c</w:t>
      </w:r>
      <w:r w:rsidR="00F549D3">
        <w:rPr>
          <w:rFonts w:ascii="Arial" w:hAnsi="Arial" w:cs="Arial"/>
          <w:b/>
          <w:color w:val="E15F55"/>
          <w:sz w:val="24"/>
          <w:szCs w:val="24"/>
        </w:rPr>
        <w:t>redit score</w:t>
      </w:r>
      <w:r w:rsidR="007A6421">
        <w:rPr>
          <w:rFonts w:ascii="Arial" w:hAnsi="Arial" w:cs="Arial"/>
          <w:b/>
          <w:color w:val="E15F55"/>
          <w:sz w:val="24"/>
          <w:szCs w:val="24"/>
        </w:rPr>
        <w:t xml:space="preserve"> from 1 July 2019</w:t>
      </w:r>
    </w:p>
    <w:p w14:paraId="344EFF23" w14:textId="77777777" w:rsidR="00D14062" w:rsidRPr="00D14062" w:rsidRDefault="00D14062" w:rsidP="00403AE8">
      <w:pPr>
        <w:jc w:val="both"/>
        <w:rPr>
          <w:rFonts w:ascii="Arial" w:hAnsi="Arial" w:cs="Arial"/>
        </w:rPr>
      </w:pPr>
      <w:r w:rsidRPr="00D14062">
        <w:rPr>
          <w:rFonts w:ascii="Arial" w:hAnsi="Arial" w:cs="Arial"/>
        </w:rPr>
        <w:t xml:space="preserve">Amendment No 14 to the Credit Reporting Privacy Code 2004 </w:t>
      </w:r>
      <w:r>
        <w:rPr>
          <w:rFonts w:ascii="Arial" w:hAnsi="Arial" w:cs="Arial"/>
        </w:rPr>
        <w:t xml:space="preserve">includes changes to enable consumers </w:t>
      </w:r>
      <w:r w:rsidR="00BB3E91">
        <w:rPr>
          <w:rFonts w:ascii="Arial" w:hAnsi="Arial" w:cs="Arial"/>
        </w:rPr>
        <w:t>clear</w:t>
      </w:r>
      <w:r w:rsidRPr="00D14062">
        <w:rPr>
          <w:rFonts w:ascii="Arial" w:hAnsi="Arial" w:cs="Arial"/>
        </w:rPr>
        <w:t xml:space="preserve"> access rights to credit score</w:t>
      </w:r>
      <w:r w:rsidR="00FD1D3F">
        <w:rPr>
          <w:rFonts w:ascii="Arial" w:hAnsi="Arial" w:cs="Arial"/>
        </w:rPr>
        <w:t xml:space="preserve"> information</w:t>
      </w:r>
      <w:r w:rsidR="009B4B4B">
        <w:rPr>
          <w:rFonts w:ascii="Arial" w:hAnsi="Arial" w:cs="Arial"/>
        </w:rPr>
        <w:t>.</w:t>
      </w:r>
    </w:p>
    <w:p w14:paraId="559E9FAE" w14:textId="77777777" w:rsidR="00E00F51" w:rsidRDefault="00E00F51" w:rsidP="00403AE8">
      <w:pPr>
        <w:jc w:val="both"/>
        <w:rPr>
          <w:rFonts w:ascii="Arial" w:hAnsi="Arial" w:cs="Arial"/>
        </w:rPr>
      </w:pPr>
      <w:r w:rsidRPr="00E00F51">
        <w:rPr>
          <w:rFonts w:ascii="Arial" w:hAnsi="Arial" w:cs="Arial"/>
        </w:rPr>
        <w:t xml:space="preserve">From 1 July 2019, the Code will be amended to provide that if </w:t>
      </w:r>
      <w:r w:rsidR="00FB1D67">
        <w:rPr>
          <w:rFonts w:ascii="Arial" w:hAnsi="Arial" w:cs="Arial"/>
        </w:rPr>
        <w:t>a</w:t>
      </w:r>
      <w:r w:rsidRPr="00E00F51">
        <w:rPr>
          <w:rFonts w:ascii="Arial" w:hAnsi="Arial" w:cs="Arial"/>
        </w:rPr>
        <w:t xml:space="preserve"> credit reporter is creating and selling to third parties a </w:t>
      </w:r>
      <w:r w:rsidR="00FB1D67">
        <w:rPr>
          <w:rFonts w:ascii="Arial" w:hAnsi="Arial" w:cs="Arial"/>
        </w:rPr>
        <w:t xml:space="preserve">credit score or </w:t>
      </w:r>
      <w:r w:rsidRPr="00E00F51">
        <w:rPr>
          <w:rFonts w:ascii="Arial" w:hAnsi="Arial" w:cs="Arial"/>
        </w:rPr>
        <w:t xml:space="preserve">rating that characterises the creditworthiness of </w:t>
      </w:r>
      <w:r w:rsidR="00FB1D67">
        <w:rPr>
          <w:rFonts w:ascii="Arial" w:hAnsi="Arial" w:cs="Arial"/>
        </w:rPr>
        <w:t xml:space="preserve">a consumer, that consumer </w:t>
      </w:r>
      <w:r w:rsidRPr="00E00F51">
        <w:rPr>
          <w:rFonts w:ascii="Arial" w:hAnsi="Arial" w:cs="Arial"/>
        </w:rPr>
        <w:t>is entitled to see that rating.</w:t>
      </w:r>
    </w:p>
    <w:p w14:paraId="4160B85E" w14:textId="02E92A75" w:rsidR="00F549D3" w:rsidRDefault="00D14062" w:rsidP="00403AE8">
      <w:pPr>
        <w:jc w:val="both"/>
        <w:rPr>
          <w:rFonts w:ascii="Arial" w:hAnsi="Arial" w:cs="Arial"/>
        </w:rPr>
      </w:pPr>
      <w:r w:rsidRPr="00D14062">
        <w:rPr>
          <w:rFonts w:ascii="Arial" w:hAnsi="Arial" w:cs="Arial"/>
        </w:rPr>
        <w:t xml:space="preserve">Credit scores are a core feature of </w:t>
      </w:r>
      <w:r w:rsidR="009B4B4B">
        <w:rPr>
          <w:rFonts w:ascii="Arial" w:hAnsi="Arial" w:cs="Arial"/>
        </w:rPr>
        <w:t>a comprehensive credit reporting system,</w:t>
      </w:r>
      <w:r w:rsidRPr="00D14062">
        <w:rPr>
          <w:rFonts w:ascii="Arial" w:hAnsi="Arial" w:cs="Arial"/>
        </w:rPr>
        <w:t xml:space="preserve"> but </w:t>
      </w:r>
      <w:r w:rsidR="009B4B4B">
        <w:rPr>
          <w:rFonts w:ascii="Arial" w:hAnsi="Arial" w:cs="Arial"/>
        </w:rPr>
        <w:t xml:space="preserve">these scores are </w:t>
      </w:r>
      <w:r w:rsidRPr="00D14062">
        <w:rPr>
          <w:rFonts w:ascii="Arial" w:hAnsi="Arial" w:cs="Arial"/>
        </w:rPr>
        <w:t>sometimes being treated as a chargeable</w:t>
      </w:r>
      <w:r>
        <w:rPr>
          <w:rFonts w:ascii="Arial" w:hAnsi="Arial" w:cs="Arial"/>
        </w:rPr>
        <w:t xml:space="preserve"> </w:t>
      </w:r>
      <w:r w:rsidRPr="00D14062">
        <w:rPr>
          <w:rFonts w:ascii="Arial" w:hAnsi="Arial" w:cs="Arial"/>
        </w:rPr>
        <w:t xml:space="preserve">‘add on’ when </w:t>
      </w:r>
      <w:r w:rsidR="009B4B4B">
        <w:rPr>
          <w:rFonts w:ascii="Arial" w:hAnsi="Arial" w:cs="Arial"/>
        </w:rPr>
        <w:t>consumers</w:t>
      </w:r>
      <w:r w:rsidRPr="00D14062">
        <w:rPr>
          <w:rFonts w:ascii="Arial" w:hAnsi="Arial" w:cs="Arial"/>
        </w:rPr>
        <w:t xml:space="preserve"> seek access</w:t>
      </w:r>
      <w:r w:rsidR="00C47B61">
        <w:rPr>
          <w:rFonts w:ascii="Arial" w:hAnsi="Arial" w:cs="Arial"/>
        </w:rPr>
        <w:t>.This</w:t>
      </w:r>
      <w:r w:rsidR="009B4B4B">
        <w:rPr>
          <w:rFonts w:ascii="Arial" w:hAnsi="Arial" w:cs="Arial"/>
        </w:rPr>
        <w:t xml:space="preserve"> </w:t>
      </w:r>
      <w:r w:rsidR="00BB3E91">
        <w:rPr>
          <w:rFonts w:ascii="Arial" w:hAnsi="Arial" w:cs="Arial"/>
        </w:rPr>
        <w:t>u</w:t>
      </w:r>
      <w:r w:rsidRPr="00D14062">
        <w:rPr>
          <w:rFonts w:ascii="Arial" w:hAnsi="Arial" w:cs="Arial"/>
        </w:rPr>
        <w:t>ndermin</w:t>
      </w:r>
      <w:r w:rsidR="00C47B61">
        <w:rPr>
          <w:rFonts w:ascii="Arial" w:hAnsi="Arial" w:cs="Arial"/>
        </w:rPr>
        <w:t>es</w:t>
      </w:r>
      <w:r w:rsidR="009B4B4B">
        <w:rPr>
          <w:rFonts w:ascii="Arial" w:hAnsi="Arial" w:cs="Arial"/>
        </w:rPr>
        <w:t xml:space="preserve"> consumer’s rights to </w:t>
      </w:r>
      <w:r w:rsidR="00BB3E91">
        <w:rPr>
          <w:rFonts w:ascii="Arial" w:hAnsi="Arial" w:cs="Arial"/>
        </w:rPr>
        <w:t xml:space="preserve">access </w:t>
      </w:r>
      <w:r w:rsidR="00FB1D67">
        <w:rPr>
          <w:rFonts w:ascii="Arial" w:hAnsi="Arial" w:cs="Arial"/>
        </w:rPr>
        <w:t xml:space="preserve">their </w:t>
      </w:r>
      <w:r w:rsidR="00BB3E91">
        <w:rPr>
          <w:rFonts w:ascii="Arial" w:hAnsi="Arial" w:cs="Arial"/>
        </w:rPr>
        <w:t>credit information for free.</w:t>
      </w:r>
      <w:r w:rsidR="009B4B4B">
        <w:rPr>
          <w:rFonts w:ascii="Arial" w:hAnsi="Arial" w:cs="Arial"/>
        </w:rPr>
        <w:t xml:space="preserve"> </w:t>
      </w:r>
      <w:r w:rsidR="00BB3E91">
        <w:rPr>
          <w:rFonts w:ascii="Arial" w:hAnsi="Arial" w:cs="Arial"/>
        </w:rPr>
        <w:t>Having access and an understanding of</w:t>
      </w:r>
      <w:r w:rsidRPr="00D14062">
        <w:rPr>
          <w:rFonts w:ascii="Arial" w:hAnsi="Arial" w:cs="Arial"/>
        </w:rPr>
        <w:t xml:space="preserve"> credit score </w:t>
      </w:r>
      <w:r w:rsidR="00BB3E91">
        <w:rPr>
          <w:rFonts w:ascii="Arial" w:hAnsi="Arial" w:cs="Arial"/>
        </w:rPr>
        <w:t>information is i</w:t>
      </w:r>
      <w:r w:rsidRPr="00D14062">
        <w:rPr>
          <w:rFonts w:ascii="Arial" w:hAnsi="Arial" w:cs="Arial"/>
        </w:rPr>
        <w:t xml:space="preserve">mportant </w:t>
      </w:r>
      <w:r w:rsidR="009B4B4B">
        <w:rPr>
          <w:rFonts w:ascii="Arial" w:hAnsi="Arial" w:cs="Arial"/>
        </w:rPr>
        <w:t>for consumers subject to</w:t>
      </w:r>
      <w:r w:rsidRPr="00D14062">
        <w:rPr>
          <w:rFonts w:ascii="Arial" w:hAnsi="Arial" w:cs="Arial"/>
        </w:rPr>
        <w:t xml:space="preserve"> </w:t>
      </w:r>
      <w:r w:rsidR="00BB3E91">
        <w:rPr>
          <w:rFonts w:ascii="Arial" w:hAnsi="Arial" w:cs="Arial"/>
        </w:rPr>
        <w:t xml:space="preserve">today’s </w:t>
      </w:r>
      <w:r w:rsidR="00BB3E91" w:rsidRPr="00D14062">
        <w:rPr>
          <w:rFonts w:ascii="Arial" w:hAnsi="Arial" w:cs="Arial"/>
        </w:rPr>
        <w:t>risk-based</w:t>
      </w:r>
      <w:r w:rsidRPr="00D14062">
        <w:rPr>
          <w:rFonts w:ascii="Arial" w:hAnsi="Arial" w:cs="Arial"/>
        </w:rPr>
        <w:t xml:space="preserve"> pricing </w:t>
      </w:r>
      <w:r w:rsidR="00BB3E91">
        <w:rPr>
          <w:rFonts w:ascii="Arial" w:hAnsi="Arial" w:cs="Arial"/>
        </w:rPr>
        <w:t xml:space="preserve">models. </w:t>
      </w:r>
      <w:r w:rsidR="00C56C49">
        <w:rPr>
          <w:rFonts w:ascii="Arial" w:hAnsi="Arial" w:cs="Arial"/>
        </w:rPr>
        <w:t>In contrast, the</w:t>
      </w:r>
      <w:r w:rsidR="00FB1D67">
        <w:rPr>
          <w:rFonts w:ascii="Arial" w:hAnsi="Arial" w:cs="Arial"/>
        </w:rPr>
        <w:t xml:space="preserve"> previous </w:t>
      </w:r>
      <w:r w:rsidR="00C83A91">
        <w:rPr>
          <w:rFonts w:ascii="Arial" w:hAnsi="Arial" w:cs="Arial"/>
        </w:rPr>
        <w:t xml:space="preserve">(negative reporting) </w:t>
      </w:r>
      <w:r w:rsidR="00FB1D67">
        <w:rPr>
          <w:rFonts w:ascii="Arial" w:hAnsi="Arial" w:cs="Arial"/>
        </w:rPr>
        <w:t xml:space="preserve">model </w:t>
      </w:r>
      <w:r w:rsidRPr="00D14062">
        <w:rPr>
          <w:rFonts w:ascii="Arial" w:hAnsi="Arial" w:cs="Arial"/>
        </w:rPr>
        <w:t>was used to identify and</w:t>
      </w:r>
      <w:r>
        <w:rPr>
          <w:rFonts w:ascii="Arial" w:hAnsi="Arial" w:cs="Arial"/>
        </w:rPr>
        <w:t xml:space="preserve"> </w:t>
      </w:r>
      <w:r w:rsidRPr="00D14062">
        <w:rPr>
          <w:rFonts w:ascii="Arial" w:hAnsi="Arial" w:cs="Arial"/>
        </w:rPr>
        <w:t>exclude poor credit risks but otherwise all approved borrowers tended to be treated alike.</w:t>
      </w:r>
    </w:p>
    <w:p w14:paraId="368DC60A" w14:textId="77777777" w:rsidR="00AE1079" w:rsidRPr="00753D5D" w:rsidRDefault="00AE1079" w:rsidP="00403AE8">
      <w:pPr>
        <w:jc w:val="both"/>
        <w:rPr>
          <w:rFonts w:ascii="Arial" w:hAnsi="Arial" w:cs="Arial"/>
          <w:b/>
          <w:color w:val="E15F55"/>
          <w:sz w:val="24"/>
          <w:szCs w:val="24"/>
        </w:rPr>
      </w:pPr>
      <w:bookmarkStart w:id="8" w:name="_Hlk3293272"/>
      <w:r w:rsidRPr="00753D5D">
        <w:rPr>
          <w:rFonts w:ascii="Arial" w:hAnsi="Arial" w:cs="Arial"/>
          <w:b/>
          <w:color w:val="E15F55"/>
          <w:sz w:val="24"/>
          <w:szCs w:val="24"/>
        </w:rPr>
        <w:t>Written transcripts</w:t>
      </w:r>
    </w:p>
    <w:bookmarkEnd w:id="6"/>
    <w:bookmarkEnd w:id="8"/>
    <w:p w14:paraId="77F349F1" w14:textId="14F5DB43" w:rsidR="00BA1458" w:rsidRDefault="00BA1458" w:rsidP="00403AE8">
      <w:pPr>
        <w:jc w:val="both"/>
        <w:rPr>
          <w:rFonts w:ascii="Arial" w:hAnsi="Arial" w:cs="Arial"/>
        </w:rPr>
      </w:pPr>
      <w:r w:rsidRPr="00BA1458">
        <w:rPr>
          <w:rFonts w:ascii="Arial" w:hAnsi="Arial" w:cs="Arial"/>
        </w:rPr>
        <w:t xml:space="preserve">We found no instances of non-compliance with the </w:t>
      </w:r>
      <w:r w:rsidR="00C47B61">
        <w:rPr>
          <w:rFonts w:ascii="Arial" w:hAnsi="Arial" w:cs="Arial"/>
        </w:rPr>
        <w:t>C</w:t>
      </w:r>
      <w:r w:rsidRPr="00BA1458">
        <w:rPr>
          <w:rFonts w:ascii="Arial" w:hAnsi="Arial" w:cs="Arial"/>
        </w:rPr>
        <w:t>ode requirements.</w:t>
      </w:r>
    </w:p>
    <w:p w14:paraId="4B689A5C" w14:textId="77777777" w:rsidR="00AE1079" w:rsidRPr="00135D69" w:rsidRDefault="00AE1079" w:rsidP="00403AE8">
      <w:pPr>
        <w:jc w:val="both"/>
        <w:rPr>
          <w:rFonts w:ascii="Arial" w:hAnsi="Arial" w:cs="Arial"/>
        </w:rPr>
      </w:pPr>
      <w:r w:rsidRPr="00135D69">
        <w:rPr>
          <w:rFonts w:ascii="Arial" w:hAnsi="Arial" w:cs="Arial"/>
        </w:rPr>
        <w:t xml:space="preserve">The </w:t>
      </w:r>
      <w:r w:rsidR="005975C2" w:rsidRPr="00135D69">
        <w:rPr>
          <w:rFonts w:ascii="Arial" w:hAnsi="Arial" w:cs="Arial"/>
        </w:rPr>
        <w:t>Privacy Act</w:t>
      </w:r>
      <w:r w:rsidRPr="00135D69">
        <w:rPr>
          <w:rFonts w:ascii="Arial" w:hAnsi="Arial" w:cs="Arial"/>
        </w:rPr>
        <w:t xml:space="preserve"> requires agencies to provide a written transcript </w:t>
      </w:r>
      <w:r w:rsidR="00421A79" w:rsidRPr="00135D69">
        <w:rPr>
          <w:rFonts w:ascii="Arial" w:hAnsi="Arial" w:cs="Arial"/>
        </w:rPr>
        <w:t>for</w:t>
      </w:r>
      <w:r w:rsidRPr="00135D69">
        <w:rPr>
          <w:rFonts w:ascii="Arial" w:hAnsi="Arial" w:cs="Arial"/>
        </w:rPr>
        <w:t xml:space="preserve"> </w:t>
      </w:r>
      <w:r w:rsidR="005E3EEC" w:rsidRPr="00135D69">
        <w:rPr>
          <w:rFonts w:ascii="Arial" w:hAnsi="Arial" w:cs="Arial"/>
        </w:rPr>
        <w:t>codified repayment information. This written transcript puts repayment information in context</w:t>
      </w:r>
      <w:r w:rsidR="00F549D3">
        <w:rPr>
          <w:rFonts w:ascii="Arial" w:hAnsi="Arial" w:cs="Arial"/>
        </w:rPr>
        <w:t xml:space="preserve"> to enable consumers to better understand the nature of the information. </w:t>
      </w:r>
    </w:p>
    <w:p w14:paraId="06F6A659" w14:textId="00C16BA3" w:rsidR="00BA1458" w:rsidRDefault="00705C96" w:rsidP="00403AE8">
      <w:pPr>
        <w:jc w:val="both"/>
        <w:rPr>
          <w:rFonts w:ascii="Arial" w:hAnsi="Arial" w:cs="Arial"/>
        </w:rPr>
      </w:pPr>
      <w:r>
        <w:rPr>
          <w:rFonts w:ascii="Arial" w:hAnsi="Arial" w:cs="Arial"/>
        </w:rPr>
        <w:t xml:space="preserve">In our 2015 spot check on credit reporter compliance we identified that </w:t>
      </w:r>
      <w:r w:rsidR="00386D87" w:rsidRPr="00135D69">
        <w:rPr>
          <w:rFonts w:ascii="Arial" w:hAnsi="Arial" w:cs="Arial"/>
        </w:rPr>
        <w:t xml:space="preserve">Centrix </w:t>
      </w:r>
      <w:r w:rsidR="00434AD6" w:rsidRPr="00135D69">
        <w:rPr>
          <w:rFonts w:ascii="Arial" w:hAnsi="Arial" w:cs="Arial"/>
        </w:rPr>
        <w:t xml:space="preserve">did not provide a transcript and on those occasions did not meet the requirement of </w:t>
      </w:r>
      <w:r w:rsidR="008252C7" w:rsidRPr="00135D69">
        <w:rPr>
          <w:rFonts w:ascii="Arial" w:hAnsi="Arial" w:cs="Arial"/>
        </w:rPr>
        <w:t xml:space="preserve">the </w:t>
      </w:r>
      <w:r w:rsidR="009807D2" w:rsidRPr="00135D69">
        <w:rPr>
          <w:rFonts w:ascii="Arial" w:hAnsi="Arial" w:cs="Arial"/>
        </w:rPr>
        <w:t>Privacy Act</w:t>
      </w:r>
      <w:r w:rsidR="008252C7" w:rsidRPr="00135D69">
        <w:rPr>
          <w:rFonts w:ascii="Arial" w:hAnsi="Arial" w:cs="Arial"/>
        </w:rPr>
        <w:t>.</w:t>
      </w:r>
      <w:r w:rsidR="00BA1458">
        <w:rPr>
          <w:rFonts w:ascii="Arial" w:hAnsi="Arial" w:cs="Arial"/>
        </w:rPr>
        <w:t xml:space="preserve"> </w:t>
      </w:r>
      <w:r w:rsidR="00BA1458" w:rsidRPr="00BA1458">
        <w:rPr>
          <w:rFonts w:ascii="Arial" w:hAnsi="Arial" w:cs="Arial"/>
        </w:rPr>
        <w:t xml:space="preserve">All three national consumer credit reporters </w:t>
      </w:r>
      <w:r w:rsidR="00BA1458">
        <w:rPr>
          <w:rFonts w:ascii="Arial" w:hAnsi="Arial" w:cs="Arial"/>
        </w:rPr>
        <w:t xml:space="preserve">now </w:t>
      </w:r>
      <w:r w:rsidR="00C83A91">
        <w:rPr>
          <w:rFonts w:ascii="Arial" w:hAnsi="Arial" w:cs="Arial"/>
        </w:rPr>
        <w:t xml:space="preserve">appear to </w:t>
      </w:r>
      <w:r w:rsidR="00BA1458" w:rsidRPr="00BA1458">
        <w:rPr>
          <w:rFonts w:ascii="Arial" w:hAnsi="Arial" w:cs="Arial"/>
        </w:rPr>
        <w:t>comply with this requirement.</w:t>
      </w:r>
    </w:p>
    <w:p w14:paraId="5469D636" w14:textId="77777777" w:rsidR="00E97E51" w:rsidRDefault="00E97E51">
      <w:pPr>
        <w:rPr>
          <w:rFonts w:ascii="Arial" w:hAnsi="Arial" w:cs="Arial"/>
          <w:b/>
          <w:color w:val="E15F55"/>
          <w:sz w:val="24"/>
          <w:szCs w:val="24"/>
        </w:rPr>
      </w:pPr>
      <w:r>
        <w:rPr>
          <w:rFonts w:ascii="Arial" w:hAnsi="Arial" w:cs="Arial"/>
          <w:b/>
          <w:color w:val="E15F55"/>
          <w:sz w:val="24"/>
          <w:szCs w:val="24"/>
        </w:rPr>
        <w:br w:type="page"/>
      </w:r>
    </w:p>
    <w:p w14:paraId="3F585F87" w14:textId="7D80E1F8" w:rsidR="0077464C" w:rsidRDefault="0077464C" w:rsidP="0077464C">
      <w:pPr>
        <w:jc w:val="both"/>
        <w:rPr>
          <w:rFonts w:ascii="Arial" w:hAnsi="Arial" w:cs="Arial"/>
          <w:b/>
          <w:color w:val="E15F55"/>
          <w:sz w:val="24"/>
          <w:szCs w:val="24"/>
        </w:rPr>
      </w:pPr>
      <w:r>
        <w:rPr>
          <w:rFonts w:ascii="Arial" w:hAnsi="Arial" w:cs="Arial"/>
          <w:b/>
          <w:color w:val="E15F55"/>
          <w:sz w:val="24"/>
          <w:szCs w:val="24"/>
        </w:rPr>
        <w:lastRenderedPageBreak/>
        <w:t xml:space="preserve">Participant </w:t>
      </w:r>
      <w:r w:rsidRPr="0077464C">
        <w:rPr>
          <w:rFonts w:ascii="Arial" w:hAnsi="Arial" w:cs="Arial"/>
          <w:b/>
          <w:color w:val="E15F55"/>
          <w:sz w:val="24"/>
          <w:szCs w:val="24"/>
        </w:rPr>
        <w:t>comments</w:t>
      </w:r>
    </w:p>
    <w:p w14:paraId="3C55848D" w14:textId="77777777" w:rsidR="0077464C" w:rsidRDefault="0077464C" w:rsidP="00403AE8">
      <w:pPr>
        <w:jc w:val="both"/>
        <w:rPr>
          <w:rFonts w:ascii="Arial" w:hAnsi="Arial" w:cs="Arial"/>
        </w:rPr>
      </w:pPr>
      <w:r>
        <w:rPr>
          <w:rFonts w:ascii="Arial" w:hAnsi="Arial" w:cs="Arial"/>
        </w:rPr>
        <w:t>We asked participant to comment on the process of accessing their credit reports or credit score. These are a selection of the comments received:</w:t>
      </w:r>
    </w:p>
    <w:p w14:paraId="37CAEC24" w14:textId="0E8FD9EA" w:rsidR="002C5E33" w:rsidRDefault="002C5E33" w:rsidP="00403AE8">
      <w:pPr>
        <w:jc w:val="both"/>
        <w:rPr>
          <w:rFonts w:ascii="Arial" w:hAnsi="Arial" w:cs="Arial"/>
          <w:i/>
        </w:rPr>
      </w:pPr>
      <w:r w:rsidRPr="00BA10FA">
        <w:rPr>
          <w:rFonts w:ascii="Arial" w:hAnsi="Arial" w:cs="Arial"/>
          <w:i/>
        </w:rPr>
        <w:t>“</w:t>
      </w:r>
      <w:r w:rsidR="00BA10FA" w:rsidRPr="00BA10FA">
        <w:rPr>
          <w:rFonts w:ascii="Arial" w:hAnsi="Arial" w:cs="Arial"/>
          <w:i/>
        </w:rPr>
        <w:t>i</w:t>
      </w:r>
      <w:r w:rsidRPr="00BA10FA">
        <w:rPr>
          <w:rFonts w:ascii="Arial" w:hAnsi="Arial" w:cs="Arial"/>
          <w:i/>
        </w:rPr>
        <w:t>l</w:t>
      </w:r>
      <w:r w:rsidRPr="002C5E33">
        <w:rPr>
          <w:rFonts w:ascii="Arial" w:hAnsi="Arial" w:cs="Arial"/>
          <w:i/>
        </w:rPr>
        <w:t>lion is super confusing and hard to navigate.”</w:t>
      </w:r>
    </w:p>
    <w:p w14:paraId="7ED1EF86" w14:textId="77777777" w:rsidR="002C5E33" w:rsidRDefault="002C5E33" w:rsidP="00403AE8">
      <w:pPr>
        <w:jc w:val="both"/>
        <w:rPr>
          <w:rFonts w:ascii="Arial" w:hAnsi="Arial" w:cs="Arial"/>
          <w:i/>
        </w:rPr>
      </w:pPr>
      <w:r>
        <w:rPr>
          <w:rFonts w:ascii="Arial" w:hAnsi="Arial" w:cs="Arial"/>
          <w:i/>
        </w:rPr>
        <w:t>“</w:t>
      </w:r>
      <w:r w:rsidRPr="002C5E33">
        <w:rPr>
          <w:rFonts w:ascii="Arial" w:hAnsi="Arial" w:cs="Arial"/>
          <w:i/>
        </w:rPr>
        <w:t>Equifax site was very difficult to navigate.</w:t>
      </w:r>
      <w:r>
        <w:rPr>
          <w:rFonts w:ascii="Arial" w:hAnsi="Arial" w:cs="Arial"/>
          <w:i/>
        </w:rPr>
        <w:t>”</w:t>
      </w:r>
    </w:p>
    <w:p w14:paraId="41782F28" w14:textId="0B557989" w:rsidR="002C5E33" w:rsidRDefault="002C5E33" w:rsidP="00403AE8">
      <w:pPr>
        <w:jc w:val="both"/>
        <w:rPr>
          <w:rFonts w:ascii="Arial" w:hAnsi="Arial" w:cs="Arial"/>
          <w:i/>
        </w:rPr>
      </w:pPr>
      <w:r w:rsidRPr="00BA10FA">
        <w:rPr>
          <w:rFonts w:ascii="Arial" w:hAnsi="Arial" w:cs="Arial"/>
          <w:i/>
        </w:rPr>
        <w:t>“</w:t>
      </w:r>
      <w:proofErr w:type="spellStart"/>
      <w:r w:rsidR="00BA10FA" w:rsidRPr="00BA10FA">
        <w:rPr>
          <w:rFonts w:ascii="Arial" w:hAnsi="Arial" w:cs="Arial"/>
          <w:i/>
        </w:rPr>
        <w:t>i</w:t>
      </w:r>
      <w:r w:rsidRPr="00BA10FA">
        <w:rPr>
          <w:rFonts w:ascii="Arial" w:hAnsi="Arial" w:cs="Arial"/>
          <w:i/>
        </w:rPr>
        <w:t>ll</w:t>
      </w:r>
      <w:r w:rsidRPr="002C5E33">
        <w:rPr>
          <w:rFonts w:ascii="Arial" w:hAnsi="Arial" w:cs="Arial"/>
          <w:i/>
        </w:rPr>
        <w:t>ion</w:t>
      </w:r>
      <w:proofErr w:type="spellEnd"/>
      <w:r w:rsidRPr="002C5E33">
        <w:rPr>
          <w:rFonts w:ascii="Arial" w:hAnsi="Arial" w:cs="Arial"/>
          <w:i/>
        </w:rPr>
        <w:t xml:space="preserve"> - horrible website and clumsy. Equifax - clumsy password protection.”</w:t>
      </w:r>
    </w:p>
    <w:p w14:paraId="3AB5DB1D" w14:textId="2A79AB43" w:rsidR="002C5E33" w:rsidRDefault="002C5E33" w:rsidP="00403AE8">
      <w:pPr>
        <w:jc w:val="both"/>
        <w:rPr>
          <w:rFonts w:ascii="Arial" w:hAnsi="Arial" w:cs="Arial"/>
          <w:i/>
        </w:rPr>
      </w:pPr>
      <w:r w:rsidRPr="002C5E33">
        <w:rPr>
          <w:rFonts w:ascii="Arial" w:hAnsi="Arial" w:cs="Arial"/>
          <w:i/>
        </w:rPr>
        <w:t>“Best service was Centrix - great communication, easy website and application process, fast response.”</w:t>
      </w:r>
    </w:p>
    <w:p w14:paraId="6DA3A93F" w14:textId="77777777" w:rsidR="00135D69" w:rsidRPr="00753D5D" w:rsidRDefault="00135D69" w:rsidP="00403AE8">
      <w:pPr>
        <w:pStyle w:val="Heading2"/>
        <w:spacing w:before="360" w:after="120"/>
        <w:jc w:val="both"/>
        <w:rPr>
          <w:rFonts w:ascii="Arial" w:hAnsi="Arial" w:cs="Arial"/>
          <w:color w:val="E15F55"/>
          <w:sz w:val="24"/>
          <w:szCs w:val="24"/>
        </w:rPr>
      </w:pPr>
      <w:r w:rsidRPr="00753D5D">
        <w:rPr>
          <w:rFonts w:ascii="Arial" w:hAnsi="Arial" w:cs="Arial"/>
          <w:color w:val="E15F55"/>
          <w:sz w:val="24"/>
          <w:szCs w:val="24"/>
        </w:rPr>
        <w:t>Conclusions</w:t>
      </w:r>
    </w:p>
    <w:p w14:paraId="3AA0BB31" w14:textId="77777777" w:rsidR="003D51F3" w:rsidRPr="00135D69" w:rsidRDefault="005975C2" w:rsidP="00403AE8">
      <w:pPr>
        <w:jc w:val="both"/>
        <w:rPr>
          <w:rFonts w:ascii="Arial" w:hAnsi="Arial" w:cs="Arial"/>
        </w:rPr>
      </w:pPr>
      <w:r w:rsidRPr="00135D69">
        <w:rPr>
          <w:rFonts w:ascii="Arial" w:hAnsi="Arial" w:cs="Arial"/>
        </w:rPr>
        <w:t xml:space="preserve">This spot check </w:t>
      </w:r>
      <w:r w:rsidR="003D51F3" w:rsidRPr="00135D69">
        <w:rPr>
          <w:rFonts w:ascii="Arial" w:hAnsi="Arial" w:cs="Arial"/>
        </w:rPr>
        <w:t>found issues that credit report</w:t>
      </w:r>
      <w:r w:rsidR="00195DCC" w:rsidRPr="00135D69">
        <w:rPr>
          <w:rFonts w:ascii="Arial" w:hAnsi="Arial" w:cs="Arial"/>
        </w:rPr>
        <w:t>ers</w:t>
      </w:r>
      <w:r w:rsidR="003D51F3" w:rsidRPr="00135D69">
        <w:rPr>
          <w:rFonts w:ascii="Arial" w:hAnsi="Arial" w:cs="Arial"/>
        </w:rPr>
        <w:t xml:space="preserve"> should investigate and address:</w:t>
      </w:r>
    </w:p>
    <w:p w14:paraId="433A1075" w14:textId="15C52B90" w:rsidR="00434AD6" w:rsidRPr="00135D69" w:rsidRDefault="0049739C" w:rsidP="00403AE8">
      <w:pPr>
        <w:pStyle w:val="ListParagraph"/>
        <w:numPr>
          <w:ilvl w:val="0"/>
          <w:numId w:val="7"/>
        </w:numPr>
        <w:ind w:left="360"/>
        <w:jc w:val="both"/>
        <w:rPr>
          <w:rFonts w:ascii="Arial" w:hAnsi="Arial" w:cs="Arial"/>
        </w:rPr>
      </w:pPr>
      <w:r w:rsidRPr="0049739C">
        <w:rPr>
          <w:rFonts w:ascii="Arial" w:hAnsi="Arial" w:cs="Arial"/>
        </w:rPr>
        <w:t xml:space="preserve">Credit reporters </w:t>
      </w:r>
      <w:r>
        <w:rPr>
          <w:rFonts w:ascii="Arial" w:hAnsi="Arial" w:cs="Arial"/>
        </w:rPr>
        <w:t xml:space="preserve">need to address their failure to </w:t>
      </w:r>
      <w:r w:rsidRPr="0049739C">
        <w:rPr>
          <w:rFonts w:ascii="Arial" w:hAnsi="Arial" w:cs="Arial"/>
        </w:rPr>
        <w:t>meet the 5 working day timeliness requirement</w:t>
      </w:r>
      <w:r>
        <w:rPr>
          <w:rFonts w:ascii="Arial" w:hAnsi="Arial" w:cs="Arial"/>
        </w:rPr>
        <w:t xml:space="preserve"> for </w:t>
      </w:r>
      <w:r w:rsidR="009A07BD">
        <w:rPr>
          <w:rFonts w:ascii="Arial" w:hAnsi="Arial" w:cs="Arial"/>
        </w:rPr>
        <w:t xml:space="preserve">expedited </w:t>
      </w:r>
      <w:r>
        <w:rPr>
          <w:rFonts w:ascii="Arial" w:hAnsi="Arial" w:cs="Arial"/>
        </w:rPr>
        <w:t>reports.</w:t>
      </w:r>
    </w:p>
    <w:p w14:paraId="25962130" w14:textId="77777777" w:rsidR="00C15C90" w:rsidRPr="00135D69" w:rsidRDefault="00C15C90" w:rsidP="00403AE8">
      <w:pPr>
        <w:pStyle w:val="ListParagraph"/>
        <w:ind w:left="360"/>
        <w:jc w:val="both"/>
        <w:rPr>
          <w:rFonts w:ascii="Arial" w:hAnsi="Arial" w:cs="Arial"/>
        </w:rPr>
      </w:pPr>
    </w:p>
    <w:p w14:paraId="0B83E942" w14:textId="77777777" w:rsidR="00AB68B1" w:rsidRPr="00AB68B1" w:rsidRDefault="0049739C" w:rsidP="00403AE8">
      <w:pPr>
        <w:pStyle w:val="ListParagraph"/>
        <w:numPr>
          <w:ilvl w:val="0"/>
          <w:numId w:val="7"/>
        </w:numPr>
        <w:ind w:left="360"/>
        <w:jc w:val="both"/>
        <w:rPr>
          <w:rFonts w:ascii="Arial" w:hAnsi="Arial" w:cs="Arial"/>
          <w:sz w:val="20"/>
          <w:szCs w:val="20"/>
        </w:rPr>
      </w:pPr>
      <w:r w:rsidRPr="0049739C">
        <w:rPr>
          <w:rFonts w:ascii="Arial" w:hAnsi="Arial" w:cs="Arial"/>
        </w:rPr>
        <w:t xml:space="preserve">While credit reporters are generally providing </w:t>
      </w:r>
      <w:r>
        <w:rPr>
          <w:rFonts w:ascii="Arial" w:hAnsi="Arial" w:cs="Arial"/>
        </w:rPr>
        <w:t xml:space="preserve">free </w:t>
      </w:r>
      <w:r w:rsidRPr="0049739C">
        <w:rPr>
          <w:rFonts w:ascii="Arial" w:hAnsi="Arial" w:cs="Arial"/>
        </w:rPr>
        <w:t>reports within 20 working days</w:t>
      </w:r>
      <w:r>
        <w:rPr>
          <w:rFonts w:ascii="Arial" w:hAnsi="Arial" w:cs="Arial"/>
        </w:rPr>
        <w:t xml:space="preserve">, Credit reporters should be striving to provide reports as </w:t>
      </w:r>
      <w:r w:rsidR="00AB68B1" w:rsidRPr="00AB68B1">
        <w:rPr>
          <w:rFonts w:ascii="Arial" w:hAnsi="Arial" w:cs="Arial"/>
        </w:rPr>
        <w:t>quickly as practicable</w:t>
      </w:r>
      <w:r w:rsidR="007A6421">
        <w:rPr>
          <w:rFonts w:ascii="Arial" w:hAnsi="Arial" w:cs="Arial"/>
        </w:rPr>
        <w:t xml:space="preserve"> since information is easily retrievable</w:t>
      </w:r>
      <w:r w:rsidR="00AB68B1" w:rsidRPr="00AB68B1">
        <w:rPr>
          <w:rFonts w:ascii="Arial" w:hAnsi="Arial" w:cs="Arial"/>
        </w:rPr>
        <w:t>.</w:t>
      </w:r>
    </w:p>
    <w:p w14:paraId="5E985301" w14:textId="77777777" w:rsidR="00AB68B1" w:rsidRPr="00AB68B1" w:rsidRDefault="00AB68B1" w:rsidP="00403AE8">
      <w:pPr>
        <w:pStyle w:val="ListParagraph"/>
        <w:ind w:left="360"/>
        <w:jc w:val="both"/>
        <w:rPr>
          <w:rFonts w:ascii="Arial" w:hAnsi="Arial" w:cs="Arial"/>
        </w:rPr>
      </w:pPr>
    </w:p>
    <w:p w14:paraId="14B538E3" w14:textId="14AF0E1F" w:rsidR="00BA5987" w:rsidRPr="00BA5987" w:rsidRDefault="0051787F" w:rsidP="00403AE8">
      <w:pPr>
        <w:pStyle w:val="ListParagraph"/>
        <w:numPr>
          <w:ilvl w:val="0"/>
          <w:numId w:val="7"/>
        </w:numPr>
        <w:ind w:left="360"/>
        <w:jc w:val="both"/>
        <w:rPr>
          <w:rFonts w:ascii="Arial" w:hAnsi="Arial" w:cs="Arial"/>
          <w:sz w:val="20"/>
          <w:szCs w:val="20"/>
        </w:rPr>
      </w:pPr>
      <w:r w:rsidRPr="0051787F">
        <w:rPr>
          <w:rFonts w:ascii="Arial" w:hAnsi="Arial" w:cs="Arial"/>
        </w:rPr>
        <w:t xml:space="preserve">Equifax and </w:t>
      </w:r>
      <w:r w:rsidR="00BA10FA">
        <w:rPr>
          <w:rFonts w:ascii="Arial" w:hAnsi="Arial" w:cs="Arial"/>
        </w:rPr>
        <w:t>i</w:t>
      </w:r>
      <w:r w:rsidRPr="0051787F">
        <w:rPr>
          <w:rFonts w:ascii="Arial" w:hAnsi="Arial" w:cs="Arial"/>
        </w:rPr>
        <w:t xml:space="preserve">llion </w:t>
      </w:r>
      <w:r w:rsidR="00AB68B1">
        <w:rPr>
          <w:rFonts w:ascii="Arial" w:hAnsi="Arial" w:cs="Arial"/>
        </w:rPr>
        <w:t xml:space="preserve">websites </w:t>
      </w:r>
      <w:r w:rsidR="006C08C4">
        <w:rPr>
          <w:rFonts w:ascii="Arial" w:hAnsi="Arial" w:cs="Arial"/>
        </w:rPr>
        <w:t xml:space="preserve">are difficult to navigate and </w:t>
      </w:r>
      <w:r w:rsidR="00F40890">
        <w:rPr>
          <w:rFonts w:ascii="Arial" w:hAnsi="Arial" w:cs="Arial"/>
        </w:rPr>
        <w:t xml:space="preserve">should make it clearer to consumers that they </w:t>
      </w:r>
      <w:r>
        <w:rPr>
          <w:rFonts w:ascii="Arial" w:hAnsi="Arial" w:cs="Arial"/>
        </w:rPr>
        <w:t>can request</w:t>
      </w:r>
      <w:r w:rsidR="00AB68B1">
        <w:rPr>
          <w:rFonts w:ascii="Arial" w:hAnsi="Arial" w:cs="Arial"/>
        </w:rPr>
        <w:t xml:space="preserve"> a free credit report</w:t>
      </w:r>
      <w:r w:rsidR="006C08C4">
        <w:rPr>
          <w:rFonts w:ascii="Arial" w:hAnsi="Arial" w:cs="Arial"/>
        </w:rPr>
        <w:t>.</w:t>
      </w:r>
    </w:p>
    <w:p w14:paraId="0754290C" w14:textId="77777777" w:rsidR="00BA5987" w:rsidRPr="00BA5987" w:rsidRDefault="00BA5987" w:rsidP="00403AE8">
      <w:pPr>
        <w:pStyle w:val="ListParagraph"/>
        <w:ind w:left="360"/>
        <w:jc w:val="both"/>
        <w:rPr>
          <w:rFonts w:ascii="Arial" w:hAnsi="Arial" w:cs="Arial"/>
        </w:rPr>
      </w:pPr>
    </w:p>
    <w:p w14:paraId="42B756E6" w14:textId="77777777" w:rsidR="00135D69" w:rsidRPr="0049739C" w:rsidRDefault="00BA5987" w:rsidP="00403AE8">
      <w:pPr>
        <w:pStyle w:val="ListParagraph"/>
        <w:numPr>
          <w:ilvl w:val="0"/>
          <w:numId w:val="7"/>
        </w:numPr>
        <w:ind w:left="360"/>
        <w:jc w:val="both"/>
        <w:rPr>
          <w:rFonts w:ascii="Arial" w:hAnsi="Arial" w:cs="Arial"/>
          <w:sz w:val="20"/>
          <w:szCs w:val="20"/>
        </w:rPr>
      </w:pPr>
      <w:r w:rsidRPr="00BA5987">
        <w:rPr>
          <w:rFonts w:ascii="Arial" w:hAnsi="Arial" w:cs="Arial"/>
        </w:rPr>
        <w:t>Equifax</w:t>
      </w:r>
      <w:r>
        <w:rPr>
          <w:rFonts w:ascii="Arial" w:hAnsi="Arial" w:cs="Arial"/>
        </w:rPr>
        <w:t xml:space="preserve">’s credit reports should explain in more detail </w:t>
      </w:r>
      <w:r w:rsidRPr="00BA5987">
        <w:rPr>
          <w:rFonts w:ascii="Arial" w:hAnsi="Arial" w:cs="Arial"/>
        </w:rPr>
        <w:t xml:space="preserve">how </w:t>
      </w:r>
      <w:r>
        <w:rPr>
          <w:rFonts w:ascii="Arial" w:hAnsi="Arial" w:cs="Arial"/>
        </w:rPr>
        <w:t xml:space="preserve">its credit </w:t>
      </w:r>
      <w:r w:rsidRPr="00BA5987">
        <w:rPr>
          <w:rFonts w:ascii="Arial" w:hAnsi="Arial" w:cs="Arial"/>
        </w:rPr>
        <w:t xml:space="preserve">score is derived and what can affect the score.  </w:t>
      </w:r>
      <w:r w:rsidR="0049739C">
        <w:rPr>
          <w:rFonts w:ascii="Arial" w:hAnsi="Arial" w:cs="Arial"/>
        </w:rPr>
        <w:t xml:space="preserve"> </w:t>
      </w:r>
      <w:r w:rsidR="0049739C" w:rsidRPr="0049739C">
        <w:rPr>
          <w:rFonts w:ascii="Arial" w:hAnsi="Arial" w:cs="Arial"/>
        </w:rPr>
        <w:t xml:space="preserve"> </w:t>
      </w:r>
      <w:r w:rsidR="00135D69" w:rsidRPr="0049739C">
        <w:rPr>
          <w:rFonts w:ascii="Arial" w:hAnsi="Arial" w:cs="Arial"/>
          <w:sz w:val="20"/>
          <w:szCs w:val="20"/>
        </w:rPr>
        <w:br w:type="page"/>
      </w:r>
    </w:p>
    <w:p w14:paraId="0E8D8F79" w14:textId="7E3B8BB3" w:rsidR="00FA6FDB" w:rsidRDefault="00625378" w:rsidP="00AE6F27">
      <w:pPr>
        <w:pStyle w:val="Heading1"/>
        <w:spacing w:before="240"/>
        <w:rPr>
          <w:rFonts w:ascii="Arial" w:hAnsi="Arial" w:cs="Arial"/>
          <w:color w:val="004150"/>
          <w:sz w:val="24"/>
          <w:szCs w:val="24"/>
        </w:rPr>
      </w:pPr>
      <w:r w:rsidRPr="00D173D5">
        <w:rPr>
          <w:rFonts w:ascii="Arial" w:hAnsi="Arial" w:cs="Arial"/>
          <w:color w:val="004150"/>
          <w:sz w:val="24"/>
          <w:szCs w:val="24"/>
        </w:rPr>
        <w:lastRenderedPageBreak/>
        <w:t>APPENDIX</w:t>
      </w:r>
      <w:r w:rsidR="008252C7" w:rsidRPr="00D173D5">
        <w:rPr>
          <w:rFonts w:ascii="Arial" w:hAnsi="Arial" w:cs="Arial"/>
          <w:color w:val="004150"/>
          <w:sz w:val="24"/>
          <w:szCs w:val="24"/>
        </w:rPr>
        <w:t xml:space="preserve"> – </w:t>
      </w:r>
      <w:r w:rsidR="00770C5C">
        <w:rPr>
          <w:rFonts w:ascii="Arial" w:hAnsi="Arial" w:cs="Arial"/>
          <w:color w:val="004150"/>
          <w:sz w:val="24"/>
          <w:szCs w:val="24"/>
        </w:rPr>
        <w:t>Raw d</w:t>
      </w:r>
      <w:r w:rsidR="00135D69">
        <w:rPr>
          <w:rFonts w:ascii="Arial" w:hAnsi="Arial" w:cs="Arial"/>
          <w:color w:val="004150"/>
          <w:sz w:val="24"/>
          <w:szCs w:val="24"/>
        </w:rPr>
        <w:t>ata</w:t>
      </w:r>
    </w:p>
    <w:p w14:paraId="74E3DBF3" w14:textId="77777777" w:rsidR="009362E0" w:rsidRDefault="009362E0" w:rsidP="00A41099">
      <w:pPr>
        <w:rPr>
          <w:rFonts w:ascii="Arial" w:hAnsi="Arial" w:cs="Arial"/>
          <w:b/>
          <w:color w:val="E15F55"/>
          <w:sz w:val="24"/>
          <w:szCs w:val="24"/>
        </w:rPr>
      </w:pPr>
      <w:bookmarkStart w:id="9" w:name="_Hlk2946812"/>
    </w:p>
    <w:p w14:paraId="29791E11" w14:textId="6D9B2B95" w:rsidR="0090126A" w:rsidRPr="0090126A" w:rsidRDefault="003E60D2" w:rsidP="00A41099">
      <w:pPr>
        <w:rPr>
          <w:rFonts w:ascii="Arial" w:hAnsi="Arial" w:cs="Arial"/>
          <w:b/>
        </w:rPr>
      </w:pPr>
      <w:r>
        <w:rPr>
          <w:rFonts w:ascii="Arial" w:hAnsi="Arial" w:cs="Arial"/>
          <w:b/>
          <w:color w:val="E15F55"/>
          <w:sz w:val="24"/>
          <w:szCs w:val="24"/>
        </w:rPr>
        <w:t>Free service – response (days)</w:t>
      </w:r>
    </w:p>
    <w:tbl>
      <w:tblPr>
        <w:tblStyle w:val="TableGrid"/>
        <w:tblW w:w="0" w:type="auto"/>
        <w:tblBorders>
          <w:top w:val="single" w:sz="8" w:space="0" w:color="004150"/>
          <w:left w:val="single" w:sz="8" w:space="0" w:color="004150"/>
          <w:bottom w:val="single" w:sz="8" w:space="0" w:color="004150"/>
          <w:right w:val="single" w:sz="8" w:space="0" w:color="004150"/>
          <w:insideH w:val="single" w:sz="8" w:space="0" w:color="004150"/>
          <w:insideV w:val="single" w:sz="8" w:space="0" w:color="004150"/>
        </w:tblBorders>
        <w:tblLook w:val="04A0" w:firstRow="1" w:lastRow="0" w:firstColumn="1" w:lastColumn="0" w:noHBand="0" w:noVBand="1"/>
      </w:tblPr>
      <w:tblGrid>
        <w:gridCol w:w="3001"/>
        <w:gridCol w:w="3002"/>
        <w:gridCol w:w="2776"/>
      </w:tblGrid>
      <w:tr w:rsidR="00770C5C" w14:paraId="12B5D944" w14:textId="77777777" w:rsidTr="0017490E">
        <w:tc>
          <w:tcPr>
            <w:tcW w:w="3001" w:type="dxa"/>
            <w:shd w:val="clear" w:color="auto" w:fill="004150"/>
          </w:tcPr>
          <w:p w14:paraId="268340C7" w14:textId="77777777" w:rsidR="00770C5C" w:rsidRPr="0090126A" w:rsidRDefault="00A41099" w:rsidP="00A41099">
            <w:pPr>
              <w:jc w:val="center"/>
              <w:rPr>
                <w:rFonts w:ascii="Arial" w:hAnsi="Arial" w:cs="Arial"/>
                <w:b/>
              </w:rPr>
            </w:pPr>
            <w:bookmarkStart w:id="10" w:name="_Hlk2885076"/>
            <w:bookmarkEnd w:id="9"/>
            <w:r w:rsidRPr="0090126A">
              <w:rPr>
                <w:rFonts w:ascii="Arial" w:hAnsi="Arial" w:cs="Arial"/>
                <w:b/>
              </w:rPr>
              <w:t>Equifax</w:t>
            </w:r>
            <w:r w:rsidR="00287285">
              <w:rPr>
                <w:rFonts w:ascii="Arial" w:hAnsi="Arial" w:cs="Arial"/>
                <w:b/>
              </w:rPr>
              <w:t xml:space="preserve"> </w:t>
            </w:r>
            <w:r w:rsidR="00B40E77">
              <w:rPr>
                <w:rFonts w:ascii="Arial" w:hAnsi="Arial" w:cs="Arial"/>
                <w:b/>
              </w:rPr>
              <w:t>*</w:t>
            </w:r>
          </w:p>
        </w:tc>
        <w:tc>
          <w:tcPr>
            <w:tcW w:w="3002" w:type="dxa"/>
            <w:shd w:val="clear" w:color="auto" w:fill="004150"/>
          </w:tcPr>
          <w:p w14:paraId="1458DA87" w14:textId="732DF939" w:rsidR="00770C5C" w:rsidRPr="0090126A" w:rsidRDefault="00BA10FA" w:rsidP="00A41099">
            <w:pPr>
              <w:jc w:val="center"/>
              <w:rPr>
                <w:rFonts w:ascii="Arial" w:hAnsi="Arial" w:cs="Arial"/>
                <w:b/>
              </w:rPr>
            </w:pPr>
            <w:r>
              <w:rPr>
                <w:rFonts w:ascii="Arial" w:hAnsi="Arial" w:cs="Arial"/>
                <w:b/>
              </w:rPr>
              <w:t>i</w:t>
            </w:r>
            <w:r w:rsidR="00A41099" w:rsidRPr="0090126A">
              <w:rPr>
                <w:rFonts w:ascii="Arial" w:hAnsi="Arial" w:cs="Arial"/>
                <w:b/>
              </w:rPr>
              <w:t>llion</w:t>
            </w:r>
            <w:r w:rsidR="00287285">
              <w:rPr>
                <w:rFonts w:ascii="Arial" w:hAnsi="Arial" w:cs="Arial"/>
                <w:b/>
              </w:rPr>
              <w:t xml:space="preserve"> </w:t>
            </w:r>
          </w:p>
        </w:tc>
        <w:tc>
          <w:tcPr>
            <w:tcW w:w="2776" w:type="dxa"/>
            <w:shd w:val="clear" w:color="auto" w:fill="004150"/>
          </w:tcPr>
          <w:p w14:paraId="2FC4246B" w14:textId="77777777" w:rsidR="00770C5C" w:rsidRPr="0090126A" w:rsidRDefault="00A41099" w:rsidP="00A41099">
            <w:pPr>
              <w:jc w:val="center"/>
              <w:rPr>
                <w:rFonts w:ascii="Arial" w:hAnsi="Arial" w:cs="Arial"/>
                <w:b/>
              </w:rPr>
            </w:pPr>
            <w:r w:rsidRPr="0090126A">
              <w:rPr>
                <w:rFonts w:ascii="Arial" w:hAnsi="Arial" w:cs="Arial"/>
                <w:b/>
              </w:rPr>
              <w:t>Centrix</w:t>
            </w:r>
            <w:r w:rsidR="00287285">
              <w:rPr>
                <w:rFonts w:ascii="Arial" w:hAnsi="Arial" w:cs="Arial"/>
                <w:b/>
              </w:rPr>
              <w:t xml:space="preserve"> </w:t>
            </w:r>
          </w:p>
        </w:tc>
      </w:tr>
      <w:tr w:rsidR="00A41099" w14:paraId="31FB5345" w14:textId="77777777" w:rsidTr="0017490E">
        <w:tc>
          <w:tcPr>
            <w:tcW w:w="3001" w:type="dxa"/>
            <w:shd w:val="clear" w:color="auto" w:fill="auto"/>
            <w:vAlign w:val="bottom"/>
          </w:tcPr>
          <w:p w14:paraId="655CC89D" w14:textId="77777777" w:rsidR="00A41099" w:rsidRPr="00A41099" w:rsidRDefault="00A41099" w:rsidP="00A41099">
            <w:pPr>
              <w:jc w:val="center"/>
              <w:rPr>
                <w:rFonts w:ascii="Arial" w:hAnsi="Arial" w:cs="Arial"/>
              </w:rPr>
            </w:pPr>
            <w:r w:rsidRPr="00A41099">
              <w:rPr>
                <w:rFonts w:ascii="Arial" w:hAnsi="Arial" w:cs="Arial"/>
              </w:rPr>
              <w:t>15</w:t>
            </w:r>
          </w:p>
        </w:tc>
        <w:tc>
          <w:tcPr>
            <w:tcW w:w="3002" w:type="dxa"/>
            <w:shd w:val="clear" w:color="auto" w:fill="auto"/>
            <w:vAlign w:val="bottom"/>
          </w:tcPr>
          <w:p w14:paraId="338910BE" w14:textId="77777777" w:rsidR="00A41099" w:rsidRPr="00A41099" w:rsidRDefault="00A41099" w:rsidP="00A41099">
            <w:pPr>
              <w:jc w:val="center"/>
              <w:rPr>
                <w:rFonts w:ascii="Arial" w:hAnsi="Arial" w:cs="Arial"/>
              </w:rPr>
            </w:pPr>
            <w:r w:rsidRPr="00A41099">
              <w:rPr>
                <w:rFonts w:ascii="Arial" w:hAnsi="Arial" w:cs="Arial"/>
              </w:rPr>
              <w:t>3</w:t>
            </w:r>
          </w:p>
        </w:tc>
        <w:tc>
          <w:tcPr>
            <w:tcW w:w="2776" w:type="dxa"/>
            <w:shd w:val="clear" w:color="auto" w:fill="auto"/>
            <w:vAlign w:val="bottom"/>
          </w:tcPr>
          <w:p w14:paraId="2C541D78" w14:textId="77777777" w:rsidR="00A41099" w:rsidRPr="00A41099" w:rsidRDefault="00A41099" w:rsidP="00A41099">
            <w:pPr>
              <w:jc w:val="center"/>
              <w:rPr>
                <w:rFonts w:ascii="Arial" w:hAnsi="Arial" w:cs="Arial"/>
              </w:rPr>
            </w:pPr>
            <w:r w:rsidRPr="00A41099">
              <w:rPr>
                <w:rFonts w:ascii="Arial" w:hAnsi="Arial" w:cs="Arial"/>
              </w:rPr>
              <w:t>17</w:t>
            </w:r>
          </w:p>
        </w:tc>
      </w:tr>
      <w:tr w:rsidR="00A41099" w14:paraId="234DB657" w14:textId="77777777" w:rsidTr="0017490E">
        <w:tc>
          <w:tcPr>
            <w:tcW w:w="3001" w:type="dxa"/>
            <w:shd w:val="clear" w:color="auto" w:fill="auto"/>
            <w:vAlign w:val="bottom"/>
          </w:tcPr>
          <w:p w14:paraId="11B64D45" w14:textId="77777777" w:rsidR="00A41099" w:rsidRPr="00A41099" w:rsidRDefault="00A41099" w:rsidP="00A41099">
            <w:pPr>
              <w:jc w:val="center"/>
              <w:rPr>
                <w:rFonts w:ascii="Arial" w:hAnsi="Arial" w:cs="Arial"/>
              </w:rPr>
            </w:pPr>
            <w:r w:rsidRPr="00A41099">
              <w:rPr>
                <w:rFonts w:ascii="Arial" w:hAnsi="Arial" w:cs="Arial"/>
              </w:rPr>
              <w:t>11</w:t>
            </w:r>
          </w:p>
        </w:tc>
        <w:tc>
          <w:tcPr>
            <w:tcW w:w="3002" w:type="dxa"/>
            <w:shd w:val="clear" w:color="auto" w:fill="auto"/>
            <w:vAlign w:val="bottom"/>
          </w:tcPr>
          <w:p w14:paraId="19BF0352" w14:textId="77777777" w:rsidR="00A41099" w:rsidRPr="00A41099" w:rsidRDefault="00A41099" w:rsidP="00A41099">
            <w:pPr>
              <w:jc w:val="center"/>
              <w:rPr>
                <w:rFonts w:ascii="Arial" w:hAnsi="Arial" w:cs="Arial"/>
              </w:rPr>
            </w:pPr>
            <w:r w:rsidRPr="00A41099">
              <w:rPr>
                <w:rFonts w:ascii="Arial" w:hAnsi="Arial" w:cs="Arial"/>
              </w:rPr>
              <w:t>2</w:t>
            </w:r>
          </w:p>
        </w:tc>
        <w:tc>
          <w:tcPr>
            <w:tcW w:w="2776" w:type="dxa"/>
            <w:shd w:val="clear" w:color="auto" w:fill="auto"/>
            <w:vAlign w:val="bottom"/>
          </w:tcPr>
          <w:p w14:paraId="4FEF1D8E" w14:textId="77777777" w:rsidR="00A41099" w:rsidRPr="00A41099" w:rsidRDefault="00A41099" w:rsidP="00A41099">
            <w:pPr>
              <w:jc w:val="center"/>
              <w:rPr>
                <w:rFonts w:ascii="Arial" w:hAnsi="Arial" w:cs="Arial"/>
              </w:rPr>
            </w:pPr>
            <w:r w:rsidRPr="00A41099">
              <w:rPr>
                <w:rFonts w:ascii="Arial" w:hAnsi="Arial" w:cs="Arial"/>
              </w:rPr>
              <w:t>19</w:t>
            </w:r>
          </w:p>
        </w:tc>
      </w:tr>
      <w:tr w:rsidR="00A41099" w14:paraId="0C54105C" w14:textId="77777777" w:rsidTr="0017490E">
        <w:tc>
          <w:tcPr>
            <w:tcW w:w="3001" w:type="dxa"/>
            <w:shd w:val="clear" w:color="auto" w:fill="auto"/>
            <w:vAlign w:val="bottom"/>
          </w:tcPr>
          <w:p w14:paraId="7758F4B4" w14:textId="77777777" w:rsidR="00A41099" w:rsidRPr="00A41099" w:rsidRDefault="00A41099" w:rsidP="00A41099">
            <w:pPr>
              <w:jc w:val="center"/>
              <w:rPr>
                <w:rFonts w:ascii="Arial" w:hAnsi="Arial" w:cs="Arial"/>
              </w:rPr>
            </w:pPr>
            <w:r w:rsidRPr="00A41099">
              <w:rPr>
                <w:rFonts w:ascii="Arial" w:hAnsi="Arial" w:cs="Arial"/>
              </w:rPr>
              <w:t>3</w:t>
            </w:r>
          </w:p>
        </w:tc>
        <w:tc>
          <w:tcPr>
            <w:tcW w:w="3002" w:type="dxa"/>
            <w:shd w:val="clear" w:color="auto" w:fill="auto"/>
            <w:vAlign w:val="bottom"/>
          </w:tcPr>
          <w:p w14:paraId="2AB09A13" w14:textId="77777777" w:rsidR="00A41099" w:rsidRPr="00A41099" w:rsidRDefault="00A41099" w:rsidP="00A41099">
            <w:pPr>
              <w:jc w:val="center"/>
              <w:rPr>
                <w:rFonts w:ascii="Arial" w:hAnsi="Arial" w:cs="Arial"/>
              </w:rPr>
            </w:pPr>
            <w:r w:rsidRPr="00A41099">
              <w:rPr>
                <w:rFonts w:ascii="Arial" w:hAnsi="Arial" w:cs="Arial"/>
              </w:rPr>
              <w:t>2</w:t>
            </w:r>
          </w:p>
        </w:tc>
        <w:tc>
          <w:tcPr>
            <w:tcW w:w="2776" w:type="dxa"/>
            <w:shd w:val="clear" w:color="auto" w:fill="auto"/>
            <w:vAlign w:val="bottom"/>
          </w:tcPr>
          <w:p w14:paraId="541387F8" w14:textId="77777777" w:rsidR="00A41099" w:rsidRPr="00A41099" w:rsidRDefault="00A41099" w:rsidP="00A41099">
            <w:pPr>
              <w:jc w:val="center"/>
              <w:rPr>
                <w:rFonts w:ascii="Arial" w:hAnsi="Arial" w:cs="Arial"/>
              </w:rPr>
            </w:pPr>
            <w:r w:rsidRPr="00A41099">
              <w:rPr>
                <w:rFonts w:ascii="Arial" w:hAnsi="Arial" w:cs="Arial"/>
              </w:rPr>
              <w:t>16</w:t>
            </w:r>
          </w:p>
        </w:tc>
      </w:tr>
      <w:tr w:rsidR="00A41099" w14:paraId="3E46A4D5" w14:textId="77777777" w:rsidTr="0017490E">
        <w:tc>
          <w:tcPr>
            <w:tcW w:w="3001" w:type="dxa"/>
            <w:shd w:val="clear" w:color="auto" w:fill="auto"/>
            <w:vAlign w:val="bottom"/>
          </w:tcPr>
          <w:p w14:paraId="1004560B" w14:textId="77777777" w:rsidR="00A41099" w:rsidRPr="00A41099" w:rsidRDefault="00A41099" w:rsidP="00A41099">
            <w:pPr>
              <w:jc w:val="center"/>
              <w:rPr>
                <w:rFonts w:ascii="Arial" w:hAnsi="Arial" w:cs="Arial"/>
              </w:rPr>
            </w:pPr>
            <w:r w:rsidRPr="00A41099">
              <w:rPr>
                <w:rFonts w:ascii="Arial" w:hAnsi="Arial" w:cs="Arial"/>
              </w:rPr>
              <w:t>12</w:t>
            </w:r>
          </w:p>
        </w:tc>
        <w:tc>
          <w:tcPr>
            <w:tcW w:w="3002" w:type="dxa"/>
            <w:shd w:val="clear" w:color="auto" w:fill="auto"/>
            <w:vAlign w:val="bottom"/>
          </w:tcPr>
          <w:p w14:paraId="11659574" w14:textId="77777777" w:rsidR="00A41099" w:rsidRPr="00A41099" w:rsidRDefault="00A41099" w:rsidP="00A41099">
            <w:pPr>
              <w:jc w:val="center"/>
              <w:rPr>
                <w:rFonts w:ascii="Arial" w:hAnsi="Arial" w:cs="Arial"/>
              </w:rPr>
            </w:pPr>
            <w:r w:rsidRPr="00A41099">
              <w:rPr>
                <w:rFonts w:ascii="Arial" w:hAnsi="Arial" w:cs="Arial"/>
              </w:rPr>
              <w:t>4</w:t>
            </w:r>
          </w:p>
        </w:tc>
        <w:tc>
          <w:tcPr>
            <w:tcW w:w="2776" w:type="dxa"/>
            <w:shd w:val="clear" w:color="auto" w:fill="auto"/>
            <w:vAlign w:val="bottom"/>
          </w:tcPr>
          <w:p w14:paraId="01233220" w14:textId="77777777" w:rsidR="00A41099" w:rsidRPr="00A41099" w:rsidRDefault="00A41099" w:rsidP="00A41099">
            <w:pPr>
              <w:jc w:val="center"/>
              <w:rPr>
                <w:rFonts w:ascii="Arial" w:hAnsi="Arial" w:cs="Arial"/>
              </w:rPr>
            </w:pPr>
            <w:r w:rsidRPr="00A41099">
              <w:rPr>
                <w:rFonts w:ascii="Arial" w:hAnsi="Arial" w:cs="Arial"/>
              </w:rPr>
              <w:t>16</w:t>
            </w:r>
          </w:p>
        </w:tc>
      </w:tr>
      <w:tr w:rsidR="00A41099" w14:paraId="74932829" w14:textId="77777777" w:rsidTr="0017490E">
        <w:tc>
          <w:tcPr>
            <w:tcW w:w="3001" w:type="dxa"/>
            <w:shd w:val="clear" w:color="auto" w:fill="auto"/>
            <w:vAlign w:val="bottom"/>
          </w:tcPr>
          <w:p w14:paraId="372E437E" w14:textId="77777777" w:rsidR="00A41099" w:rsidRPr="00A41099" w:rsidRDefault="0090126A" w:rsidP="00A41099">
            <w:pPr>
              <w:jc w:val="center"/>
              <w:rPr>
                <w:rFonts w:ascii="Arial" w:hAnsi="Arial" w:cs="Arial"/>
              </w:rPr>
            </w:pPr>
            <w:r>
              <w:rPr>
                <w:rFonts w:ascii="Arial" w:hAnsi="Arial" w:cs="Arial"/>
              </w:rPr>
              <w:t>Did not proceed</w:t>
            </w:r>
          </w:p>
        </w:tc>
        <w:tc>
          <w:tcPr>
            <w:tcW w:w="3002" w:type="dxa"/>
            <w:shd w:val="clear" w:color="auto" w:fill="auto"/>
            <w:vAlign w:val="bottom"/>
          </w:tcPr>
          <w:p w14:paraId="04DFFBFD" w14:textId="77777777" w:rsidR="00A41099" w:rsidRPr="00A41099" w:rsidRDefault="00A41099" w:rsidP="00A41099">
            <w:pPr>
              <w:jc w:val="center"/>
              <w:rPr>
                <w:rFonts w:ascii="Arial" w:hAnsi="Arial" w:cs="Arial"/>
              </w:rPr>
            </w:pPr>
            <w:r w:rsidRPr="00A41099">
              <w:rPr>
                <w:rFonts w:ascii="Arial" w:hAnsi="Arial" w:cs="Arial"/>
              </w:rPr>
              <w:t>7</w:t>
            </w:r>
          </w:p>
        </w:tc>
        <w:tc>
          <w:tcPr>
            <w:tcW w:w="2776" w:type="dxa"/>
            <w:shd w:val="clear" w:color="auto" w:fill="auto"/>
            <w:vAlign w:val="bottom"/>
          </w:tcPr>
          <w:p w14:paraId="1FD2C9C4" w14:textId="77777777" w:rsidR="00A41099" w:rsidRPr="00A41099" w:rsidRDefault="00A41099" w:rsidP="00A41099">
            <w:pPr>
              <w:jc w:val="center"/>
              <w:rPr>
                <w:rFonts w:ascii="Arial" w:hAnsi="Arial" w:cs="Arial"/>
              </w:rPr>
            </w:pPr>
            <w:r w:rsidRPr="00A41099">
              <w:rPr>
                <w:rFonts w:ascii="Arial" w:hAnsi="Arial" w:cs="Arial"/>
              </w:rPr>
              <w:t>17</w:t>
            </w:r>
          </w:p>
        </w:tc>
      </w:tr>
      <w:tr w:rsidR="00A41099" w14:paraId="26778EB7" w14:textId="77777777" w:rsidTr="0017490E">
        <w:tc>
          <w:tcPr>
            <w:tcW w:w="3001" w:type="dxa"/>
            <w:shd w:val="clear" w:color="auto" w:fill="auto"/>
            <w:vAlign w:val="bottom"/>
          </w:tcPr>
          <w:p w14:paraId="4C78A36E" w14:textId="77777777" w:rsidR="00A41099" w:rsidRPr="00A41099" w:rsidRDefault="00A41099" w:rsidP="00A41099">
            <w:pPr>
              <w:jc w:val="center"/>
              <w:rPr>
                <w:rFonts w:ascii="Arial" w:hAnsi="Arial" w:cs="Arial"/>
              </w:rPr>
            </w:pPr>
            <w:r w:rsidRPr="00A41099">
              <w:rPr>
                <w:rFonts w:ascii="Arial" w:hAnsi="Arial" w:cs="Arial"/>
              </w:rPr>
              <w:t>16</w:t>
            </w:r>
          </w:p>
        </w:tc>
        <w:tc>
          <w:tcPr>
            <w:tcW w:w="3002" w:type="dxa"/>
            <w:shd w:val="clear" w:color="auto" w:fill="auto"/>
            <w:vAlign w:val="bottom"/>
          </w:tcPr>
          <w:p w14:paraId="4B229A96" w14:textId="77777777" w:rsidR="00A41099" w:rsidRPr="00A41099" w:rsidRDefault="00A41099" w:rsidP="00A41099">
            <w:pPr>
              <w:jc w:val="center"/>
              <w:rPr>
                <w:rFonts w:ascii="Arial" w:hAnsi="Arial" w:cs="Arial"/>
              </w:rPr>
            </w:pPr>
            <w:r w:rsidRPr="00A41099">
              <w:rPr>
                <w:rFonts w:ascii="Arial" w:hAnsi="Arial" w:cs="Arial"/>
              </w:rPr>
              <w:t>17</w:t>
            </w:r>
          </w:p>
        </w:tc>
        <w:tc>
          <w:tcPr>
            <w:tcW w:w="2776" w:type="dxa"/>
            <w:shd w:val="clear" w:color="auto" w:fill="auto"/>
            <w:vAlign w:val="bottom"/>
          </w:tcPr>
          <w:p w14:paraId="09914E5A" w14:textId="77777777" w:rsidR="00A41099" w:rsidRPr="00A41099" w:rsidRDefault="00A41099" w:rsidP="00A41099">
            <w:pPr>
              <w:jc w:val="center"/>
              <w:rPr>
                <w:rFonts w:ascii="Arial" w:hAnsi="Arial" w:cs="Arial"/>
              </w:rPr>
            </w:pPr>
            <w:r w:rsidRPr="00A41099">
              <w:rPr>
                <w:rFonts w:ascii="Arial" w:hAnsi="Arial" w:cs="Arial"/>
              </w:rPr>
              <w:t>17</w:t>
            </w:r>
          </w:p>
        </w:tc>
      </w:tr>
      <w:tr w:rsidR="00A41099" w14:paraId="0E0474B0" w14:textId="77777777" w:rsidTr="0017490E">
        <w:tc>
          <w:tcPr>
            <w:tcW w:w="3001" w:type="dxa"/>
            <w:shd w:val="clear" w:color="auto" w:fill="auto"/>
            <w:vAlign w:val="bottom"/>
          </w:tcPr>
          <w:p w14:paraId="53AAC8EA" w14:textId="77777777" w:rsidR="00A41099" w:rsidRPr="00A41099" w:rsidRDefault="00A41099" w:rsidP="00A41099">
            <w:pPr>
              <w:jc w:val="center"/>
              <w:rPr>
                <w:rFonts w:ascii="Arial" w:hAnsi="Arial" w:cs="Arial"/>
              </w:rPr>
            </w:pPr>
            <w:r w:rsidRPr="00A41099">
              <w:rPr>
                <w:rFonts w:ascii="Arial" w:hAnsi="Arial" w:cs="Arial"/>
              </w:rPr>
              <w:t>21</w:t>
            </w:r>
          </w:p>
        </w:tc>
        <w:tc>
          <w:tcPr>
            <w:tcW w:w="3002" w:type="dxa"/>
            <w:shd w:val="clear" w:color="auto" w:fill="auto"/>
            <w:vAlign w:val="bottom"/>
          </w:tcPr>
          <w:p w14:paraId="59EA88F4" w14:textId="77777777" w:rsidR="00A41099" w:rsidRPr="00A41099" w:rsidRDefault="00A41099" w:rsidP="00A41099">
            <w:pPr>
              <w:jc w:val="center"/>
              <w:rPr>
                <w:rFonts w:ascii="Arial" w:hAnsi="Arial" w:cs="Arial"/>
              </w:rPr>
            </w:pPr>
            <w:r w:rsidRPr="00A41099">
              <w:rPr>
                <w:rFonts w:ascii="Arial" w:hAnsi="Arial" w:cs="Arial"/>
              </w:rPr>
              <w:t>4</w:t>
            </w:r>
          </w:p>
        </w:tc>
        <w:tc>
          <w:tcPr>
            <w:tcW w:w="2776" w:type="dxa"/>
            <w:shd w:val="clear" w:color="auto" w:fill="auto"/>
            <w:vAlign w:val="bottom"/>
          </w:tcPr>
          <w:p w14:paraId="1594F194" w14:textId="77777777" w:rsidR="00A41099" w:rsidRPr="00A41099" w:rsidRDefault="00A41099" w:rsidP="00A41099">
            <w:pPr>
              <w:jc w:val="center"/>
              <w:rPr>
                <w:rFonts w:ascii="Arial" w:hAnsi="Arial" w:cs="Arial"/>
              </w:rPr>
            </w:pPr>
            <w:r w:rsidRPr="00A41099">
              <w:rPr>
                <w:rFonts w:ascii="Arial" w:hAnsi="Arial" w:cs="Arial"/>
              </w:rPr>
              <w:t>3</w:t>
            </w:r>
          </w:p>
        </w:tc>
      </w:tr>
      <w:tr w:rsidR="00A41099" w14:paraId="4B159B0C" w14:textId="77777777" w:rsidTr="0017490E">
        <w:tc>
          <w:tcPr>
            <w:tcW w:w="3001" w:type="dxa"/>
            <w:shd w:val="clear" w:color="auto" w:fill="auto"/>
            <w:vAlign w:val="bottom"/>
          </w:tcPr>
          <w:p w14:paraId="5BFD4712" w14:textId="77777777" w:rsidR="00A41099" w:rsidRPr="00A41099" w:rsidRDefault="00A41099" w:rsidP="00A41099">
            <w:pPr>
              <w:jc w:val="center"/>
              <w:rPr>
                <w:rFonts w:ascii="Arial" w:hAnsi="Arial" w:cs="Arial"/>
              </w:rPr>
            </w:pPr>
            <w:r w:rsidRPr="00A41099">
              <w:rPr>
                <w:rFonts w:ascii="Arial" w:hAnsi="Arial" w:cs="Arial"/>
              </w:rPr>
              <w:t>14</w:t>
            </w:r>
          </w:p>
        </w:tc>
        <w:tc>
          <w:tcPr>
            <w:tcW w:w="3002" w:type="dxa"/>
            <w:shd w:val="clear" w:color="auto" w:fill="auto"/>
            <w:vAlign w:val="bottom"/>
          </w:tcPr>
          <w:p w14:paraId="1E9C7427" w14:textId="77777777" w:rsidR="00A41099" w:rsidRPr="00A41099" w:rsidRDefault="00A41099" w:rsidP="00A41099">
            <w:pPr>
              <w:jc w:val="center"/>
              <w:rPr>
                <w:rFonts w:ascii="Arial" w:hAnsi="Arial" w:cs="Arial"/>
              </w:rPr>
            </w:pPr>
            <w:r w:rsidRPr="00A41099">
              <w:rPr>
                <w:rFonts w:ascii="Arial" w:hAnsi="Arial" w:cs="Arial"/>
              </w:rPr>
              <w:t>15</w:t>
            </w:r>
          </w:p>
        </w:tc>
        <w:tc>
          <w:tcPr>
            <w:tcW w:w="2776" w:type="dxa"/>
            <w:shd w:val="clear" w:color="auto" w:fill="auto"/>
            <w:vAlign w:val="bottom"/>
          </w:tcPr>
          <w:p w14:paraId="7320C43F" w14:textId="77777777" w:rsidR="00A41099" w:rsidRPr="00A41099" w:rsidRDefault="00A41099" w:rsidP="00A41099">
            <w:pPr>
              <w:jc w:val="center"/>
              <w:rPr>
                <w:rFonts w:ascii="Arial" w:hAnsi="Arial" w:cs="Arial"/>
              </w:rPr>
            </w:pPr>
            <w:r w:rsidRPr="00A41099">
              <w:rPr>
                <w:rFonts w:ascii="Arial" w:hAnsi="Arial" w:cs="Arial"/>
              </w:rPr>
              <w:t>17</w:t>
            </w:r>
          </w:p>
        </w:tc>
      </w:tr>
      <w:tr w:rsidR="00A41099" w14:paraId="03E7EC3D" w14:textId="77777777" w:rsidTr="0017490E">
        <w:tc>
          <w:tcPr>
            <w:tcW w:w="3001" w:type="dxa"/>
            <w:shd w:val="clear" w:color="auto" w:fill="auto"/>
            <w:vAlign w:val="bottom"/>
          </w:tcPr>
          <w:p w14:paraId="16EA066F" w14:textId="77777777" w:rsidR="00A41099" w:rsidRPr="00A41099" w:rsidRDefault="00A41099" w:rsidP="00A41099">
            <w:pPr>
              <w:jc w:val="center"/>
              <w:rPr>
                <w:rFonts w:ascii="Arial" w:hAnsi="Arial" w:cs="Arial"/>
              </w:rPr>
            </w:pPr>
            <w:r w:rsidRPr="00A41099">
              <w:rPr>
                <w:rFonts w:ascii="Arial" w:hAnsi="Arial" w:cs="Arial"/>
              </w:rPr>
              <w:t>12</w:t>
            </w:r>
          </w:p>
        </w:tc>
        <w:tc>
          <w:tcPr>
            <w:tcW w:w="3002" w:type="dxa"/>
            <w:shd w:val="clear" w:color="auto" w:fill="auto"/>
            <w:vAlign w:val="bottom"/>
          </w:tcPr>
          <w:p w14:paraId="2B059975" w14:textId="77777777" w:rsidR="00A41099" w:rsidRPr="00A41099" w:rsidRDefault="00A41099" w:rsidP="00A41099">
            <w:pPr>
              <w:jc w:val="center"/>
              <w:rPr>
                <w:rFonts w:ascii="Arial" w:hAnsi="Arial" w:cs="Arial"/>
              </w:rPr>
            </w:pPr>
            <w:r w:rsidRPr="00A41099">
              <w:rPr>
                <w:rFonts w:ascii="Arial" w:hAnsi="Arial" w:cs="Arial"/>
              </w:rPr>
              <w:t>7</w:t>
            </w:r>
          </w:p>
        </w:tc>
        <w:tc>
          <w:tcPr>
            <w:tcW w:w="2776" w:type="dxa"/>
            <w:shd w:val="clear" w:color="auto" w:fill="auto"/>
            <w:vAlign w:val="bottom"/>
          </w:tcPr>
          <w:p w14:paraId="10DCDBC6" w14:textId="77777777" w:rsidR="00A41099" w:rsidRPr="00A41099" w:rsidRDefault="00A41099" w:rsidP="00A41099">
            <w:pPr>
              <w:jc w:val="center"/>
              <w:rPr>
                <w:rFonts w:ascii="Arial" w:hAnsi="Arial" w:cs="Arial"/>
              </w:rPr>
            </w:pPr>
            <w:r w:rsidRPr="00A41099">
              <w:rPr>
                <w:rFonts w:ascii="Arial" w:hAnsi="Arial" w:cs="Arial"/>
              </w:rPr>
              <w:t>16</w:t>
            </w:r>
          </w:p>
        </w:tc>
      </w:tr>
      <w:tr w:rsidR="00A41099" w14:paraId="226163E8" w14:textId="77777777" w:rsidTr="0017490E">
        <w:tc>
          <w:tcPr>
            <w:tcW w:w="3001" w:type="dxa"/>
            <w:shd w:val="clear" w:color="auto" w:fill="auto"/>
            <w:vAlign w:val="bottom"/>
          </w:tcPr>
          <w:p w14:paraId="735E8133" w14:textId="77777777" w:rsidR="00A41099" w:rsidRPr="00A41099" w:rsidRDefault="00A41099" w:rsidP="00A41099">
            <w:pPr>
              <w:jc w:val="center"/>
              <w:rPr>
                <w:rFonts w:ascii="Arial" w:hAnsi="Arial" w:cs="Arial"/>
              </w:rPr>
            </w:pPr>
            <w:r w:rsidRPr="00A41099">
              <w:rPr>
                <w:rFonts w:ascii="Arial" w:hAnsi="Arial" w:cs="Arial"/>
              </w:rPr>
              <w:t>16</w:t>
            </w:r>
          </w:p>
        </w:tc>
        <w:tc>
          <w:tcPr>
            <w:tcW w:w="3002" w:type="dxa"/>
            <w:shd w:val="clear" w:color="auto" w:fill="auto"/>
            <w:vAlign w:val="bottom"/>
          </w:tcPr>
          <w:p w14:paraId="0B8F85B4" w14:textId="77777777" w:rsidR="00A41099" w:rsidRPr="00A41099" w:rsidRDefault="00A41099" w:rsidP="00A41099">
            <w:pPr>
              <w:jc w:val="center"/>
              <w:rPr>
                <w:rFonts w:ascii="Arial" w:hAnsi="Arial" w:cs="Arial"/>
              </w:rPr>
            </w:pPr>
            <w:r w:rsidRPr="00A41099">
              <w:rPr>
                <w:rFonts w:ascii="Arial" w:hAnsi="Arial" w:cs="Arial"/>
              </w:rPr>
              <w:t>5</w:t>
            </w:r>
          </w:p>
        </w:tc>
        <w:tc>
          <w:tcPr>
            <w:tcW w:w="2776" w:type="dxa"/>
            <w:shd w:val="clear" w:color="auto" w:fill="auto"/>
            <w:vAlign w:val="bottom"/>
          </w:tcPr>
          <w:p w14:paraId="1C090DC1" w14:textId="77777777" w:rsidR="00A41099" w:rsidRPr="00A41099" w:rsidRDefault="00A41099" w:rsidP="00A41099">
            <w:pPr>
              <w:jc w:val="center"/>
              <w:rPr>
                <w:rFonts w:ascii="Arial" w:hAnsi="Arial" w:cs="Arial"/>
              </w:rPr>
            </w:pPr>
            <w:r w:rsidRPr="00A41099">
              <w:rPr>
                <w:rFonts w:ascii="Arial" w:hAnsi="Arial" w:cs="Arial"/>
              </w:rPr>
              <w:t>19</w:t>
            </w:r>
          </w:p>
        </w:tc>
      </w:tr>
      <w:tr w:rsidR="00A41099" w14:paraId="4BB16BB1" w14:textId="77777777" w:rsidTr="0017490E">
        <w:tc>
          <w:tcPr>
            <w:tcW w:w="3001" w:type="dxa"/>
            <w:shd w:val="clear" w:color="auto" w:fill="auto"/>
            <w:vAlign w:val="bottom"/>
          </w:tcPr>
          <w:p w14:paraId="0D427701" w14:textId="77777777" w:rsidR="00A41099" w:rsidRPr="00A41099" w:rsidRDefault="00A41099" w:rsidP="00A41099">
            <w:pPr>
              <w:jc w:val="center"/>
              <w:rPr>
                <w:rFonts w:ascii="Arial" w:hAnsi="Arial" w:cs="Arial"/>
              </w:rPr>
            </w:pPr>
            <w:r w:rsidRPr="00A41099">
              <w:rPr>
                <w:rFonts w:ascii="Arial" w:hAnsi="Arial" w:cs="Arial"/>
              </w:rPr>
              <w:t>15</w:t>
            </w:r>
          </w:p>
        </w:tc>
        <w:tc>
          <w:tcPr>
            <w:tcW w:w="3002" w:type="dxa"/>
            <w:shd w:val="clear" w:color="auto" w:fill="auto"/>
            <w:vAlign w:val="bottom"/>
          </w:tcPr>
          <w:p w14:paraId="49DC0BEC" w14:textId="77777777" w:rsidR="00A41099" w:rsidRPr="00A41099" w:rsidRDefault="00A41099" w:rsidP="00A41099">
            <w:pPr>
              <w:jc w:val="center"/>
              <w:rPr>
                <w:rFonts w:ascii="Arial" w:hAnsi="Arial" w:cs="Arial"/>
              </w:rPr>
            </w:pPr>
            <w:r w:rsidRPr="00A41099">
              <w:rPr>
                <w:rFonts w:ascii="Arial" w:hAnsi="Arial" w:cs="Arial"/>
              </w:rPr>
              <w:t>6</w:t>
            </w:r>
          </w:p>
        </w:tc>
        <w:tc>
          <w:tcPr>
            <w:tcW w:w="2776" w:type="dxa"/>
            <w:shd w:val="clear" w:color="auto" w:fill="auto"/>
            <w:vAlign w:val="bottom"/>
          </w:tcPr>
          <w:p w14:paraId="19C23D2B" w14:textId="77777777" w:rsidR="00A41099" w:rsidRPr="00A41099" w:rsidRDefault="00A41099" w:rsidP="00A41099">
            <w:pPr>
              <w:jc w:val="center"/>
              <w:rPr>
                <w:rFonts w:ascii="Arial" w:hAnsi="Arial" w:cs="Arial"/>
              </w:rPr>
            </w:pPr>
            <w:r w:rsidRPr="00A41099">
              <w:rPr>
                <w:rFonts w:ascii="Arial" w:hAnsi="Arial" w:cs="Arial"/>
              </w:rPr>
              <w:t>17</w:t>
            </w:r>
          </w:p>
        </w:tc>
      </w:tr>
      <w:tr w:rsidR="00A41099" w14:paraId="244D6EDD" w14:textId="77777777" w:rsidTr="0017490E">
        <w:tc>
          <w:tcPr>
            <w:tcW w:w="3001" w:type="dxa"/>
            <w:shd w:val="clear" w:color="auto" w:fill="auto"/>
          </w:tcPr>
          <w:p w14:paraId="707D53AB" w14:textId="77777777" w:rsidR="00A41099" w:rsidRPr="00A41099" w:rsidRDefault="00A41099" w:rsidP="00A41099"/>
        </w:tc>
        <w:tc>
          <w:tcPr>
            <w:tcW w:w="3002" w:type="dxa"/>
            <w:shd w:val="clear" w:color="auto" w:fill="auto"/>
            <w:vAlign w:val="bottom"/>
          </w:tcPr>
          <w:p w14:paraId="12FFB651" w14:textId="77777777" w:rsidR="00A41099" w:rsidRPr="00A41099" w:rsidRDefault="00A41099" w:rsidP="00A41099">
            <w:pPr>
              <w:jc w:val="center"/>
              <w:rPr>
                <w:rFonts w:ascii="Arial" w:hAnsi="Arial" w:cs="Arial"/>
              </w:rPr>
            </w:pPr>
            <w:r w:rsidRPr="00A41099">
              <w:rPr>
                <w:rFonts w:ascii="Arial" w:hAnsi="Arial" w:cs="Arial"/>
              </w:rPr>
              <w:t>18</w:t>
            </w:r>
          </w:p>
        </w:tc>
        <w:tc>
          <w:tcPr>
            <w:tcW w:w="2776" w:type="dxa"/>
            <w:shd w:val="clear" w:color="auto" w:fill="auto"/>
            <w:vAlign w:val="bottom"/>
          </w:tcPr>
          <w:p w14:paraId="77020A2E" w14:textId="77777777" w:rsidR="00A41099" w:rsidRPr="00A41099" w:rsidRDefault="00A41099" w:rsidP="00A41099">
            <w:pPr>
              <w:jc w:val="center"/>
              <w:rPr>
                <w:rFonts w:ascii="Arial" w:hAnsi="Arial" w:cs="Arial"/>
              </w:rPr>
            </w:pPr>
            <w:r w:rsidRPr="00A41099">
              <w:rPr>
                <w:rFonts w:ascii="Arial" w:hAnsi="Arial" w:cs="Arial"/>
              </w:rPr>
              <w:t>16</w:t>
            </w:r>
          </w:p>
        </w:tc>
      </w:tr>
      <w:tr w:rsidR="00A41099" w14:paraId="6E122CB1" w14:textId="77777777" w:rsidTr="0017490E">
        <w:tc>
          <w:tcPr>
            <w:tcW w:w="3001" w:type="dxa"/>
            <w:shd w:val="clear" w:color="auto" w:fill="auto"/>
          </w:tcPr>
          <w:p w14:paraId="49A2DA58" w14:textId="77777777" w:rsidR="00A41099" w:rsidRPr="00A41099" w:rsidRDefault="00A41099" w:rsidP="00A41099"/>
        </w:tc>
        <w:tc>
          <w:tcPr>
            <w:tcW w:w="3002" w:type="dxa"/>
            <w:shd w:val="clear" w:color="auto" w:fill="auto"/>
            <w:vAlign w:val="bottom"/>
          </w:tcPr>
          <w:p w14:paraId="079F3571" w14:textId="77777777" w:rsidR="00A41099" w:rsidRPr="00A41099" w:rsidRDefault="00A41099" w:rsidP="00A41099">
            <w:pPr>
              <w:jc w:val="center"/>
              <w:rPr>
                <w:rFonts w:ascii="Arial" w:hAnsi="Arial" w:cs="Arial"/>
              </w:rPr>
            </w:pPr>
            <w:r w:rsidRPr="00A41099">
              <w:rPr>
                <w:rFonts w:ascii="Arial" w:hAnsi="Arial" w:cs="Arial"/>
              </w:rPr>
              <w:t>3</w:t>
            </w:r>
          </w:p>
        </w:tc>
        <w:tc>
          <w:tcPr>
            <w:tcW w:w="2776" w:type="dxa"/>
            <w:shd w:val="clear" w:color="auto" w:fill="auto"/>
            <w:vAlign w:val="bottom"/>
          </w:tcPr>
          <w:p w14:paraId="01D1F0DE" w14:textId="77777777" w:rsidR="00A41099" w:rsidRPr="00A41099" w:rsidRDefault="00A41099" w:rsidP="00A41099">
            <w:pPr>
              <w:jc w:val="center"/>
              <w:rPr>
                <w:rFonts w:ascii="Arial" w:hAnsi="Arial" w:cs="Arial"/>
              </w:rPr>
            </w:pPr>
            <w:r w:rsidRPr="00A41099">
              <w:rPr>
                <w:rFonts w:ascii="Arial" w:hAnsi="Arial" w:cs="Arial"/>
              </w:rPr>
              <w:t>15</w:t>
            </w:r>
          </w:p>
        </w:tc>
      </w:tr>
      <w:tr w:rsidR="00A41099" w14:paraId="32103EC5" w14:textId="77777777" w:rsidTr="0017490E">
        <w:tc>
          <w:tcPr>
            <w:tcW w:w="3001" w:type="dxa"/>
            <w:shd w:val="clear" w:color="auto" w:fill="auto"/>
          </w:tcPr>
          <w:p w14:paraId="4A497D69" w14:textId="77777777" w:rsidR="00A41099" w:rsidRPr="00A41099" w:rsidRDefault="00A41099" w:rsidP="00A41099"/>
        </w:tc>
        <w:tc>
          <w:tcPr>
            <w:tcW w:w="3002" w:type="dxa"/>
            <w:shd w:val="clear" w:color="auto" w:fill="auto"/>
            <w:vAlign w:val="bottom"/>
          </w:tcPr>
          <w:p w14:paraId="005D0056" w14:textId="77777777" w:rsidR="00A41099" w:rsidRPr="00A41099" w:rsidRDefault="00A41099" w:rsidP="00A41099">
            <w:pPr>
              <w:jc w:val="center"/>
              <w:rPr>
                <w:rFonts w:ascii="Arial" w:hAnsi="Arial" w:cs="Arial"/>
              </w:rPr>
            </w:pPr>
            <w:r w:rsidRPr="00A41099">
              <w:rPr>
                <w:rFonts w:ascii="Arial" w:hAnsi="Arial" w:cs="Arial"/>
              </w:rPr>
              <w:t>6</w:t>
            </w:r>
          </w:p>
        </w:tc>
        <w:tc>
          <w:tcPr>
            <w:tcW w:w="2776" w:type="dxa"/>
            <w:shd w:val="clear" w:color="auto" w:fill="auto"/>
            <w:vAlign w:val="bottom"/>
          </w:tcPr>
          <w:p w14:paraId="0AE298E5" w14:textId="77777777" w:rsidR="00A41099" w:rsidRPr="00A41099" w:rsidRDefault="00A41099" w:rsidP="00A41099">
            <w:pPr>
              <w:jc w:val="center"/>
              <w:rPr>
                <w:rFonts w:ascii="Arial" w:hAnsi="Arial" w:cs="Arial"/>
              </w:rPr>
            </w:pPr>
            <w:r w:rsidRPr="00A41099">
              <w:rPr>
                <w:rFonts w:ascii="Arial" w:hAnsi="Arial" w:cs="Arial"/>
              </w:rPr>
              <w:t>16</w:t>
            </w:r>
          </w:p>
        </w:tc>
      </w:tr>
      <w:tr w:rsidR="00A41099" w14:paraId="6B119BD0" w14:textId="77777777" w:rsidTr="0017490E">
        <w:tc>
          <w:tcPr>
            <w:tcW w:w="3001" w:type="dxa"/>
            <w:shd w:val="clear" w:color="auto" w:fill="auto"/>
          </w:tcPr>
          <w:p w14:paraId="3444C88D" w14:textId="77777777" w:rsidR="00A41099" w:rsidRPr="00A41099" w:rsidRDefault="00A41099" w:rsidP="00A41099"/>
        </w:tc>
        <w:tc>
          <w:tcPr>
            <w:tcW w:w="3002" w:type="dxa"/>
            <w:shd w:val="clear" w:color="auto" w:fill="auto"/>
            <w:vAlign w:val="bottom"/>
          </w:tcPr>
          <w:p w14:paraId="4DCE8E45" w14:textId="77777777" w:rsidR="00A41099" w:rsidRPr="00A41099" w:rsidRDefault="00A41099" w:rsidP="00A41099">
            <w:pPr>
              <w:jc w:val="center"/>
              <w:rPr>
                <w:rFonts w:ascii="Arial" w:hAnsi="Arial" w:cs="Arial"/>
              </w:rPr>
            </w:pPr>
            <w:r w:rsidRPr="00A41099">
              <w:rPr>
                <w:rFonts w:ascii="Arial" w:hAnsi="Arial" w:cs="Arial"/>
              </w:rPr>
              <w:t>3</w:t>
            </w:r>
          </w:p>
        </w:tc>
        <w:tc>
          <w:tcPr>
            <w:tcW w:w="2776" w:type="dxa"/>
            <w:shd w:val="clear" w:color="auto" w:fill="auto"/>
            <w:vAlign w:val="bottom"/>
          </w:tcPr>
          <w:p w14:paraId="0834C260" w14:textId="77777777" w:rsidR="00A41099" w:rsidRPr="00A41099" w:rsidRDefault="00A41099" w:rsidP="00A41099">
            <w:pPr>
              <w:jc w:val="center"/>
              <w:rPr>
                <w:rFonts w:ascii="Arial" w:hAnsi="Arial" w:cs="Arial"/>
              </w:rPr>
            </w:pPr>
            <w:r w:rsidRPr="00A41099">
              <w:rPr>
                <w:rFonts w:ascii="Arial" w:hAnsi="Arial" w:cs="Arial"/>
              </w:rPr>
              <w:t>17</w:t>
            </w:r>
          </w:p>
        </w:tc>
      </w:tr>
      <w:tr w:rsidR="00A41099" w14:paraId="27667F86" w14:textId="77777777" w:rsidTr="0017490E">
        <w:tc>
          <w:tcPr>
            <w:tcW w:w="3001" w:type="dxa"/>
            <w:shd w:val="clear" w:color="auto" w:fill="auto"/>
          </w:tcPr>
          <w:p w14:paraId="1D936A95" w14:textId="77777777" w:rsidR="00A41099" w:rsidRPr="00A41099" w:rsidRDefault="00A41099" w:rsidP="00A41099"/>
        </w:tc>
        <w:tc>
          <w:tcPr>
            <w:tcW w:w="3002" w:type="dxa"/>
            <w:shd w:val="clear" w:color="auto" w:fill="auto"/>
            <w:vAlign w:val="bottom"/>
          </w:tcPr>
          <w:p w14:paraId="3B6C9EE3" w14:textId="77777777" w:rsidR="00A41099" w:rsidRPr="00A41099" w:rsidRDefault="00A41099" w:rsidP="00A41099">
            <w:pPr>
              <w:jc w:val="center"/>
              <w:rPr>
                <w:rFonts w:ascii="Arial" w:hAnsi="Arial" w:cs="Arial"/>
              </w:rPr>
            </w:pPr>
            <w:r>
              <w:rPr>
                <w:rFonts w:ascii="Arial" w:hAnsi="Arial" w:cs="Arial"/>
              </w:rPr>
              <w:t>Not received</w:t>
            </w:r>
          </w:p>
        </w:tc>
        <w:tc>
          <w:tcPr>
            <w:tcW w:w="2776" w:type="dxa"/>
            <w:shd w:val="clear" w:color="auto" w:fill="auto"/>
            <w:vAlign w:val="bottom"/>
          </w:tcPr>
          <w:p w14:paraId="51182C40" w14:textId="77777777" w:rsidR="00A41099" w:rsidRPr="00A41099" w:rsidRDefault="00A41099" w:rsidP="00A41099">
            <w:pPr>
              <w:jc w:val="center"/>
              <w:rPr>
                <w:rFonts w:ascii="Arial" w:hAnsi="Arial" w:cs="Arial"/>
              </w:rPr>
            </w:pPr>
            <w:r w:rsidRPr="00A41099">
              <w:rPr>
                <w:rFonts w:ascii="Arial" w:hAnsi="Arial" w:cs="Arial"/>
              </w:rPr>
              <w:t>17</w:t>
            </w:r>
          </w:p>
        </w:tc>
      </w:tr>
      <w:tr w:rsidR="00A41099" w14:paraId="35C69440" w14:textId="77777777" w:rsidTr="0017490E">
        <w:tc>
          <w:tcPr>
            <w:tcW w:w="3001" w:type="dxa"/>
            <w:shd w:val="clear" w:color="auto" w:fill="auto"/>
          </w:tcPr>
          <w:p w14:paraId="2236FD37" w14:textId="77777777" w:rsidR="00A41099" w:rsidRPr="00A41099" w:rsidRDefault="00A41099" w:rsidP="00A41099"/>
        </w:tc>
        <w:tc>
          <w:tcPr>
            <w:tcW w:w="3002" w:type="dxa"/>
            <w:shd w:val="clear" w:color="auto" w:fill="auto"/>
            <w:vAlign w:val="bottom"/>
          </w:tcPr>
          <w:p w14:paraId="329CF009" w14:textId="77777777" w:rsidR="00A41099" w:rsidRPr="00A41099" w:rsidRDefault="00A41099" w:rsidP="00A41099">
            <w:pPr>
              <w:jc w:val="center"/>
              <w:rPr>
                <w:rFonts w:ascii="Arial" w:hAnsi="Arial" w:cs="Arial"/>
              </w:rPr>
            </w:pPr>
            <w:r w:rsidRPr="00A41099">
              <w:rPr>
                <w:rFonts w:ascii="Arial" w:hAnsi="Arial" w:cs="Arial"/>
              </w:rPr>
              <w:t>19</w:t>
            </w:r>
          </w:p>
        </w:tc>
        <w:tc>
          <w:tcPr>
            <w:tcW w:w="2776" w:type="dxa"/>
            <w:shd w:val="clear" w:color="auto" w:fill="auto"/>
            <w:vAlign w:val="bottom"/>
          </w:tcPr>
          <w:p w14:paraId="49B166EE" w14:textId="77777777" w:rsidR="00A41099" w:rsidRPr="00A41099" w:rsidRDefault="00A41099" w:rsidP="00A41099">
            <w:pPr>
              <w:jc w:val="center"/>
              <w:rPr>
                <w:rFonts w:ascii="Arial" w:hAnsi="Arial" w:cs="Arial"/>
              </w:rPr>
            </w:pPr>
            <w:r w:rsidRPr="00A41099">
              <w:rPr>
                <w:rFonts w:ascii="Arial" w:hAnsi="Arial" w:cs="Arial"/>
              </w:rPr>
              <w:t>19</w:t>
            </w:r>
          </w:p>
        </w:tc>
      </w:tr>
      <w:tr w:rsidR="00A41099" w14:paraId="40C49A28" w14:textId="77777777" w:rsidTr="0017490E">
        <w:tc>
          <w:tcPr>
            <w:tcW w:w="3001" w:type="dxa"/>
            <w:shd w:val="clear" w:color="auto" w:fill="auto"/>
          </w:tcPr>
          <w:p w14:paraId="1E322249" w14:textId="77777777" w:rsidR="00A41099" w:rsidRPr="00A41099" w:rsidRDefault="00A41099" w:rsidP="00A41099"/>
        </w:tc>
        <w:tc>
          <w:tcPr>
            <w:tcW w:w="3002" w:type="dxa"/>
            <w:shd w:val="clear" w:color="auto" w:fill="auto"/>
            <w:vAlign w:val="bottom"/>
          </w:tcPr>
          <w:p w14:paraId="045A057E" w14:textId="77777777" w:rsidR="00A41099" w:rsidRPr="00A41099" w:rsidRDefault="00A41099" w:rsidP="00A41099">
            <w:pPr>
              <w:jc w:val="center"/>
              <w:rPr>
                <w:rFonts w:ascii="Arial" w:hAnsi="Arial" w:cs="Arial"/>
              </w:rPr>
            </w:pPr>
            <w:r w:rsidRPr="00A41099">
              <w:rPr>
                <w:rFonts w:ascii="Arial" w:hAnsi="Arial" w:cs="Arial"/>
              </w:rPr>
              <w:t>6</w:t>
            </w:r>
          </w:p>
        </w:tc>
        <w:tc>
          <w:tcPr>
            <w:tcW w:w="2776" w:type="dxa"/>
            <w:shd w:val="clear" w:color="auto" w:fill="auto"/>
            <w:vAlign w:val="bottom"/>
          </w:tcPr>
          <w:p w14:paraId="0C916461" w14:textId="77777777" w:rsidR="00A41099" w:rsidRPr="00A41099" w:rsidRDefault="00A41099" w:rsidP="00A41099">
            <w:pPr>
              <w:jc w:val="center"/>
              <w:rPr>
                <w:rFonts w:ascii="Arial" w:hAnsi="Arial" w:cs="Arial"/>
              </w:rPr>
            </w:pPr>
            <w:r w:rsidRPr="00A41099">
              <w:rPr>
                <w:rFonts w:ascii="Arial" w:hAnsi="Arial" w:cs="Arial"/>
              </w:rPr>
              <w:t>17</w:t>
            </w:r>
          </w:p>
        </w:tc>
      </w:tr>
      <w:tr w:rsidR="00A41099" w14:paraId="74921597" w14:textId="77777777" w:rsidTr="0017490E">
        <w:tc>
          <w:tcPr>
            <w:tcW w:w="3001" w:type="dxa"/>
            <w:shd w:val="clear" w:color="auto" w:fill="auto"/>
          </w:tcPr>
          <w:p w14:paraId="515ABDDB" w14:textId="77777777" w:rsidR="00A41099" w:rsidRPr="00A41099" w:rsidRDefault="00A41099" w:rsidP="00A41099"/>
        </w:tc>
        <w:tc>
          <w:tcPr>
            <w:tcW w:w="3002" w:type="dxa"/>
            <w:shd w:val="clear" w:color="auto" w:fill="auto"/>
            <w:vAlign w:val="bottom"/>
          </w:tcPr>
          <w:p w14:paraId="213265C8" w14:textId="77777777" w:rsidR="00A41099" w:rsidRPr="00A41099" w:rsidRDefault="00A41099" w:rsidP="00A41099">
            <w:pPr>
              <w:jc w:val="center"/>
              <w:rPr>
                <w:rFonts w:ascii="Arial" w:hAnsi="Arial" w:cs="Arial"/>
              </w:rPr>
            </w:pPr>
            <w:r w:rsidRPr="00A41099">
              <w:rPr>
                <w:rFonts w:ascii="Arial" w:hAnsi="Arial" w:cs="Arial"/>
              </w:rPr>
              <w:t>1</w:t>
            </w:r>
          </w:p>
        </w:tc>
        <w:tc>
          <w:tcPr>
            <w:tcW w:w="2776" w:type="dxa"/>
            <w:shd w:val="clear" w:color="auto" w:fill="auto"/>
            <w:vAlign w:val="bottom"/>
          </w:tcPr>
          <w:p w14:paraId="257780BA" w14:textId="77777777" w:rsidR="00A41099" w:rsidRPr="00A41099" w:rsidRDefault="00A41099" w:rsidP="00A41099">
            <w:pPr>
              <w:jc w:val="center"/>
              <w:rPr>
                <w:rFonts w:ascii="Arial" w:hAnsi="Arial" w:cs="Arial"/>
              </w:rPr>
            </w:pPr>
            <w:r w:rsidRPr="00A41099">
              <w:rPr>
                <w:rFonts w:ascii="Arial" w:hAnsi="Arial" w:cs="Arial"/>
              </w:rPr>
              <w:t>17</w:t>
            </w:r>
          </w:p>
        </w:tc>
      </w:tr>
      <w:tr w:rsidR="00A41099" w14:paraId="7A1C4A0A" w14:textId="77777777" w:rsidTr="0017490E">
        <w:tc>
          <w:tcPr>
            <w:tcW w:w="3001" w:type="dxa"/>
            <w:shd w:val="clear" w:color="auto" w:fill="auto"/>
          </w:tcPr>
          <w:p w14:paraId="235340A3" w14:textId="77777777" w:rsidR="00A41099" w:rsidRPr="00A41099" w:rsidRDefault="00A41099" w:rsidP="00A41099"/>
        </w:tc>
        <w:tc>
          <w:tcPr>
            <w:tcW w:w="3002" w:type="dxa"/>
            <w:shd w:val="clear" w:color="auto" w:fill="auto"/>
            <w:vAlign w:val="bottom"/>
          </w:tcPr>
          <w:p w14:paraId="4BE36D94" w14:textId="77777777" w:rsidR="00A41099" w:rsidRPr="00A41099" w:rsidRDefault="00A41099" w:rsidP="00A41099">
            <w:pPr>
              <w:jc w:val="center"/>
              <w:rPr>
                <w:rFonts w:ascii="Arial" w:hAnsi="Arial" w:cs="Arial"/>
              </w:rPr>
            </w:pPr>
            <w:r w:rsidRPr="00A41099">
              <w:rPr>
                <w:rFonts w:ascii="Arial" w:hAnsi="Arial" w:cs="Arial"/>
              </w:rPr>
              <w:t>1</w:t>
            </w:r>
          </w:p>
        </w:tc>
        <w:tc>
          <w:tcPr>
            <w:tcW w:w="2776" w:type="dxa"/>
            <w:shd w:val="clear" w:color="auto" w:fill="auto"/>
            <w:vAlign w:val="bottom"/>
          </w:tcPr>
          <w:p w14:paraId="6EEFA1BA" w14:textId="77777777" w:rsidR="00A41099" w:rsidRPr="00A41099" w:rsidRDefault="00A41099" w:rsidP="00A41099">
            <w:pPr>
              <w:jc w:val="center"/>
              <w:rPr>
                <w:rFonts w:ascii="Arial" w:hAnsi="Arial" w:cs="Arial"/>
              </w:rPr>
            </w:pPr>
            <w:r w:rsidRPr="00A41099">
              <w:rPr>
                <w:rFonts w:ascii="Arial" w:hAnsi="Arial" w:cs="Arial"/>
              </w:rPr>
              <w:t>10</w:t>
            </w:r>
          </w:p>
        </w:tc>
      </w:tr>
      <w:tr w:rsidR="005D0F5A" w14:paraId="763A1760" w14:textId="77777777" w:rsidTr="0017490E">
        <w:tc>
          <w:tcPr>
            <w:tcW w:w="3001" w:type="dxa"/>
            <w:shd w:val="clear" w:color="auto" w:fill="auto"/>
          </w:tcPr>
          <w:p w14:paraId="670C3B90" w14:textId="6F213BEE" w:rsidR="005D0F5A" w:rsidRPr="00026072" w:rsidRDefault="005D0F5A" w:rsidP="005D0F5A">
            <w:pPr>
              <w:jc w:val="center"/>
              <w:rPr>
                <w:rFonts w:ascii="Arial" w:hAnsi="Arial" w:cs="Arial"/>
                <w:b/>
              </w:rPr>
            </w:pPr>
            <w:r w:rsidRPr="00026072">
              <w:rPr>
                <w:rFonts w:ascii="Arial" w:hAnsi="Arial" w:cs="Arial"/>
                <w:b/>
              </w:rPr>
              <w:t>120 (total)</w:t>
            </w:r>
          </w:p>
        </w:tc>
        <w:tc>
          <w:tcPr>
            <w:tcW w:w="3002" w:type="dxa"/>
            <w:shd w:val="clear" w:color="auto" w:fill="auto"/>
            <w:vAlign w:val="bottom"/>
          </w:tcPr>
          <w:p w14:paraId="5B55EAF0" w14:textId="7FE1E7D8" w:rsidR="005D0F5A" w:rsidRPr="00026072" w:rsidRDefault="005D0F5A" w:rsidP="00A41099">
            <w:pPr>
              <w:jc w:val="center"/>
              <w:rPr>
                <w:rFonts w:ascii="Arial" w:hAnsi="Arial" w:cs="Arial"/>
                <w:b/>
              </w:rPr>
            </w:pPr>
            <w:r w:rsidRPr="00026072">
              <w:rPr>
                <w:rFonts w:ascii="Arial" w:hAnsi="Arial" w:cs="Arial"/>
                <w:b/>
              </w:rPr>
              <w:t>129 (total)</w:t>
            </w:r>
          </w:p>
        </w:tc>
        <w:tc>
          <w:tcPr>
            <w:tcW w:w="2776" w:type="dxa"/>
            <w:shd w:val="clear" w:color="auto" w:fill="auto"/>
            <w:vAlign w:val="bottom"/>
          </w:tcPr>
          <w:p w14:paraId="0A22DB0C" w14:textId="042DD61F" w:rsidR="005D0F5A" w:rsidRPr="00026072" w:rsidRDefault="005D0F5A" w:rsidP="00A41099">
            <w:pPr>
              <w:jc w:val="center"/>
              <w:rPr>
                <w:rFonts w:ascii="Arial" w:hAnsi="Arial" w:cs="Arial"/>
                <w:b/>
              </w:rPr>
            </w:pPr>
            <w:r w:rsidRPr="00026072">
              <w:rPr>
                <w:rFonts w:ascii="Arial" w:hAnsi="Arial" w:cs="Arial"/>
                <w:b/>
              </w:rPr>
              <w:t>318 (total)</w:t>
            </w:r>
          </w:p>
        </w:tc>
      </w:tr>
      <w:tr w:rsidR="005D0F5A" w14:paraId="291DB00F" w14:textId="77777777" w:rsidTr="0017490E">
        <w:tc>
          <w:tcPr>
            <w:tcW w:w="3001" w:type="dxa"/>
            <w:shd w:val="clear" w:color="auto" w:fill="auto"/>
          </w:tcPr>
          <w:p w14:paraId="37345075" w14:textId="347E0A4D" w:rsidR="005D0F5A" w:rsidRPr="00026072" w:rsidRDefault="005D0F5A" w:rsidP="005D0F5A">
            <w:pPr>
              <w:jc w:val="center"/>
              <w:rPr>
                <w:rFonts w:ascii="Arial" w:hAnsi="Arial" w:cs="Arial"/>
                <w:b/>
              </w:rPr>
            </w:pPr>
            <w:r w:rsidRPr="00026072">
              <w:rPr>
                <w:rFonts w:ascii="Arial" w:hAnsi="Arial" w:cs="Arial"/>
                <w:b/>
              </w:rPr>
              <w:t>13.3 (average)</w:t>
            </w:r>
          </w:p>
        </w:tc>
        <w:tc>
          <w:tcPr>
            <w:tcW w:w="3002" w:type="dxa"/>
            <w:shd w:val="clear" w:color="auto" w:fill="auto"/>
            <w:vAlign w:val="bottom"/>
          </w:tcPr>
          <w:p w14:paraId="6CFF6CCC" w14:textId="453029EF" w:rsidR="005D0F5A" w:rsidRPr="00026072" w:rsidRDefault="005D0F5A" w:rsidP="00A41099">
            <w:pPr>
              <w:jc w:val="center"/>
              <w:rPr>
                <w:rFonts w:ascii="Arial" w:hAnsi="Arial" w:cs="Arial"/>
                <w:b/>
              </w:rPr>
            </w:pPr>
            <w:r w:rsidRPr="00026072">
              <w:rPr>
                <w:rFonts w:ascii="Arial" w:hAnsi="Arial" w:cs="Arial"/>
                <w:b/>
              </w:rPr>
              <w:t>6.8 (average)</w:t>
            </w:r>
          </w:p>
        </w:tc>
        <w:tc>
          <w:tcPr>
            <w:tcW w:w="2776" w:type="dxa"/>
            <w:shd w:val="clear" w:color="auto" w:fill="auto"/>
            <w:vAlign w:val="bottom"/>
          </w:tcPr>
          <w:p w14:paraId="1DFDB537" w14:textId="43F82751" w:rsidR="005D0F5A" w:rsidRPr="00026072" w:rsidRDefault="005D0F5A" w:rsidP="00A41099">
            <w:pPr>
              <w:jc w:val="center"/>
              <w:rPr>
                <w:rFonts w:ascii="Arial" w:hAnsi="Arial" w:cs="Arial"/>
                <w:b/>
              </w:rPr>
            </w:pPr>
            <w:r w:rsidRPr="00026072">
              <w:rPr>
                <w:rFonts w:ascii="Arial" w:hAnsi="Arial" w:cs="Arial"/>
                <w:b/>
              </w:rPr>
              <w:t>15.9 (average)</w:t>
            </w:r>
          </w:p>
        </w:tc>
      </w:tr>
    </w:tbl>
    <w:bookmarkEnd w:id="10"/>
    <w:p w14:paraId="2A514A02" w14:textId="7C0B6841" w:rsidR="00B40E77" w:rsidRDefault="00B40E77" w:rsidP="00B40E77">
      <w:pPr>
        <w:rPr>
          <w:rFonts w:ascii="Arial" w:hAnsi="Arial" w:cs="Arial"/>
        </w:rPr>
      </w:pPr>
      <w:r w:rsidRPr="00E959AE">
        <w:rPr>
          <w:rFonts w:ascii="Arial" w:hAnsi="Arial" w:cs="Arial"/>
        </w:rPr>
        <w:t xml:space="preserve">* </w:t>
      </w:r>
      <w:r w:rsidR="00E959AE">
        <w:rPr>
          <w:rFonts w:ascii="Arial" w:hAnsi="Arial" w:cs="Arial"/>
        </w:rPr>
        <w:t xml:space="preserve">Only </w:t>
      </w:r>
      <w:r w:rsidRPr="00E959AE">
        <w:rPr>
          <w:rFonts w:ascii="Arial" w:hAnsi="Arial" w:cs="Arial"/>
        </w:rPr>
        <w:t>10</w:t>
      </w:r>
      <w:r>
        <w:rPr>
          <w:rFonts w:ascii="Arial" w:hAnsi="Arial" w:cs="Arial"/>
        </w:rPr>
        <w:t xml:space="preserve"> free </w:t>
      </w:r>
      <w:r w:rsidR="00E959AE">
        <w:rPr>
          <w:rFonts w:ascii="Arial" w:hAnsi="Arial" w:cs="Arial"/>
        </w:rPr>
        <w:t>service</w:t>
      </w:r>
      <w:r>
        <w:rPr>
          <w:rFonts w:ascii="Arial" w:hAnsi="Arial" w:cs="Arial"/>
        </w:rPr>
        <w:t xml:space="preserve"> requests were made </w:t>
      </w:r>
      <w:r w:rsidR="00E959AE">
        <w:rPr>
          <w:rFonts w:ascii="Arial" w:hAnsi="Arial" w:cs="Arial"/>
        </w:rPr>
        <w:t>as these participants also request</w:t>
      </w:r>
      <w:r w:rsidR="002274E2">
        <w:rPr>
          <w:rFonts w:ascii="Arial" w:hAnsi="Arial" w:cs="Arial"/>
        </w:rPr>
        <w:t>ed</w:t>
      </w:r>
      <w:r w:rsidR="00E959AE">
        <w:rPr>
          <w:rFonts w:ascii="Arial" w:hAnsi="Arial" w:cs="Arial"/>
        </w:rPr>
        <w:t xml:space="preserve"> reports through the </w:t>
      </w:r>
      <w:r w:rsidR="00E959AE" w:rsidRPr="00E959AE">
        <w:rPr>
          <w:rFonts w:ascii="Arial" w:hAnsi="Arial" w:cs="Arial"/>
        </w:rPr>
        <w:t>Equifax Alert Service</w:t>
      </w:r>
    </w:p>
    <w:p w14:paraId="562AB289" w14:textId="77777777" w:rsidR="003E60D2" w:rsidRPr="0090126A" w:rsidRDefault="003E60D2" w:rsidP="003E60D2">
      <w:pPr>
        <w:rPr>
          <w:rFonts w:ascii="Arial" w:hAnsi="Arial" w:cs="Arial"/>
          <w:b/>
        </w:rPr>
      </w:pPr>
      <w:r>
        <w:rPr>
          <w:rFonts w:ascii="Arial" w:hAnsi="Arial" w:cs="Arial"/>
          <w:b/>
          <w:color w:val="E15F55"/>
          <w:sz w:val="24"/>
          <w:szCs w:val="24"/>
        </w:rPr>
        <w:t>Fast Track service – response (days)</w:t>
      </w:r>
    </w:p>
    <w:tbl>
      <w:tblPr>
        <w:tblStyle w:val="TableGrid"/>
        <w:tblW w:w="8779" w:type="dxa"/>
        <w:tblBorders>
          <w:top w:val="single" w:sz="8" w:space="0" w:color="004150"/>
          <w:left w:val="single" w:sz="8" w:space="0" w:color="004150"/>
          <w:bottom w:val="single" w:sz="8" w:space="0" w:color="004150"/>
          <w:right w:val="single" w:sz="8" w:space="0" w:color="004150"/>
          <w:insideH w:val="single" w:sz="8" w:space="0" w:color="004150"/>
          <w:insideV w:val="single" w:sz="8" w:space="0" w:color="004150"/>
        </w:tblBorders>
        <w:tblLook w:val="04A0" w:firstRow="1" w:lastRow="0" w:firstColumn="1" w:lastColumn="0" w:noHBand="0" w:noVBand="1"/>
      </w:tblPr>
      <w:tblGrid>
        <w:gridCol w:w="3001"/>
        <w:gridCol w:w="3002"/>
        <w:gridCol w:w="2776"/>
      </w:tblGrid>
      <w:tr w:rsidR="0090126A" w14:paraId="2E1107EF" w14:textId="77777777" w:rsidTr="0017490E">
        <w:tc>
          <w:tcPr>
            <w:tcW w:w="3001" w:type="dxa"/>
            <w:shd w:val="clear" w:color="auto" w:fill="004150"/>
          </w:tcPr>
          <w:p w14:paraId="3F101E31" w14:textId="77777777" w:rsidR="0090126A" w:rsidRPr="0090126A" w:rsidRDefault="0090126A" w:rsidP="00C72681">
            <w:pPr>
              <w:jc w:val="center"/>
              <w:rPr>
                <w:rFonts w:ascii="Arial" w:hAnsi="Arial" w:cs="Arial"/>
                <w:b/>
              </w:rPr>
            </w:pPr>
            <w:r w:rsidRPr="0090126A">
              <w:rPr>
                <w:rFonts w:ascii="Arial" w:hAnsi="Arial" w:cs="Arial"/>
                <w:b/>
              </w:rPr>
              <w:t>Equifax</w:t>
            </w:r>
            <w:r w:rsidR="00287285">
              <w:rPr>
                <w:rFonts w:ascii="Arial" w:hAnsi="Arial" w:cs="Arial"/>
                <w:b/>
              </w:rPr>
              <w:t xml:space="preserve"> </w:t>
            </w:r>
          </w:p>
        </w:tc>
        <w:tc>
          <w:tcPr>
            <w:tcW w:w="3002" w:type="dxa"/>
            <w:shd w:val="clear" w:color="auto" w:fill="004150"/>
          </w:tcPr>
          <w:p w14:paraId="68631145" w14:textId="487B4146" w:rsidR="0090126A" w:rsidRPr="0090126A" w:rsidRDefault="00BA10FA" w:rsidP="00C72681">
            <w:pPr>
              <w:jc w:val="center"/>
              <w:rPr>
                <w:rFonts w:ascii="Arial" w:hAnsi="Arial" w:cs="Arial"/>
                <w:b/>
              </w:rPr>
            </w:pPr>
            <w:r>
              <w:rPr>
                <w:rFonts w:ascii="Arial" w:hAnsi="Arial" w:cs="Arial"/>
                <w:b/>
              </w:rPr>
              <w:t>i</w:t>
            </w:r>
            <w:r w:rsidR="0090126A" w:rsidRPr="0090126A">
              <w:rPr>
                <w:rFonts w:ascii="Arial" w:hAnsi="Arial" w:cs="Arial"/>
                <w:b/>
              </w:rPr>
              <w:t>llion</w:t>
            </w:r>
          </w:p>
        </w:tc>
        <w:tc>
          <w:tcPr>
            <w:tcW w:w="2776" w:type="dxa"/>
            <w:shd w:val="clear" w:color="auto" w:fill="004150"/>
          </w:tcPr>
          <w:p w14:paraId="3B9A6B3E" w14:textId="77777777" w:rsidR="0090126A" w:rsidRPr="0090126A" w:rsidRDefault="0090126A" w:rsidP="00C72681">
            <w:pPr>
              <w:jc w:val="center"/>
              <w:rPr>
                <w:rFonts w:ascii="Arial" w:hAnsi="Arial" w:cs="Arial"/>
                <w:b/>
              </w:rPr>
            </w:pPr>
            <w:r w:rsidRPr="0090126A">
              <w:rPr>
                <w:rFonts w:ascii="Arial" w:hAnsi="Arial" w:cs="Arial"/>
                <w:b/>
              </w:rPr>
              <w:t>Centrix</w:t>
            </w:r>
          </w:p>
        </w:tc>
      </w:tr>
      <w:tr w:rsidR="00AF7B9A" w14:paraId="7B05CA21" w14:textId="77777777" w:rsidTr="0017490E">
        <w:tc>
          <w:tcPr>
            <w:tcW w:w="3001" w:type="dxa"/>
            <w:shd w:val="clear" w:color="auto" w:fill="auto"/>
            <w:vAlign w:val="bottom"/>
          </w:tcPr>
          <w:p w14:paraId="5E6A3091" w14:textId="77777777" w:rsidR="00AF7B9A" w:rsidRDefault="00AF7B9A" w:rsidP="00AF7B9A">
            <w:pPr>
              <w:jc w:val="center"/>
              <w:rPr>
                <w:rFonts w:ascii="Arial" w:hAnsi="Arial" w:cs="Arial"/>
                <w:color w:val="000000"/>
              </w:rPr>
            </w:pPr>
            <w:r>
              <w:rPr>
                <w:rFonts w:ascii="Arial" w:hAnsi="Arial" w:cs="Arial"/>
                <w:color w:val="000000"/>
              </w:rPr>
              <w:t>3</w:t>
            </w:r>
          </w:p>
        </w:tc>
        <w:tc>
          <w:tcPr>
            <w:tcW w:w="3002" w:type="dxa"/>
            <w:shd w:val="clear" w:color="auto" w:fill="auto"/>
            <w:vAlign w:val="bottom"/>
          </w:tcPr>
          <w:p w14:paraId="2AD6153A" w14:textId="77777777" w:rsidR="00AF7B9A" w:rsidRDefault="00AF7B9A" w:rsidP="00AF7B9A">
            <w:pPr>
              <w:jc w:val="center"/>
              <w:rPr>
                <w:rFonts w:ascii="Arial" w:hAnsi="Arial" w:cs="Arial"/>
                <w:color w:val="000000"/>
              </w:rPr>
            </w:pPr>
            <w:r>
              <w:rPr>
                <w:rFonts w:ascii="Arial" w:hAnsi="Arial" w:cs="Arial"/>
                <w:color w:val="000000"/>
              </w:rPr>
              <w:t xml:space="preserve"> Did not proceed</w:t>
            </w:r>
          </w:p>
        </w:tc>
        <w:tc>
          <w:tcPr>
            <w:tcW w:w="2776" w:type="dxa"/>
            <w:shd w:val="clear" w:color="auto" w:fill="auto"/>
            <w:vAlign w:val="bottom"/>
          </w:tcPr>
          <w:p w14:paraId="71F910C8" w14:textId="77777777" w:rsidR="00AF7B9A" w:rsidRDefault="00AF7B9A" w:rsidP="00AF7B9A">
            <w:pPr>
              <w:jc w:val="center"/>
              <w:rPr>
                <w:rFonts w:ascii="Arial" w:hAnsi="Arial" w:cs="Arial"/>
                <w:color w:val="000000"/>
              </w:rPr>
            </w:pPr>
            <w:r>
              <w:rPr>
                <w:rFonts w:ascii="Arial" w:hAnsi="Arial" w:cs="Arial"/>
                <w:color w:val="000000"/>
              </w:rPr>
              <w:t>20</w:t>
            </w:r>
          </w:p>
        </w:tc>
      </w:tr>
      <w:tr w:rsidR="00AF7B9A" w14:paraId="6C528578" w14:textId="77777777" w:rsidTr="0017490E">
        <w:tc>
          <w:tcPr>
            <w:tcW w:w="3001" w:type="dxa"/>
            <w:shd w:val="clear" w:color="auto" w:fill="auto"/>
            <w:vAlign w:val="bottom"/>
          </w:tcPr>
          <w:p w14:paraId="28284F66" w14:textId="77777777" w:rsidR="00AF7B9A" w:rsidRDefault="00AF7B9A" w:rsidP="00AF7B9A">
            <w:pPr>
              <w:jc w:val="center"/>
              <w:rPr>
                <w:rFonts w:ascii="Arial" w:hAnsi="Arial" w:cs="Arial"/>
                <w:color w:val="000000"/>
              </w:rPr>
            </w:pPr>
            <w:r>
              <w:rPr>
                <w:rFonts w:ascii="Arial" w:hAnsi="Arial" w:cs="Arial"/>
                <w:color w:val="000000"/>
              </w:rPr>
              <w:t>2</w:t>
            </w:r>
          </w:p>
        </w:tc>
        <w:tc>
          <w:tcPr>
            <w:tcW w:w="3002" w:type="dxa"/>
            <w:shd w:val="clear" w:color="auto" w:fill="auto"/>
            <w:vAlign w:val="bottom"/>
          </w:tcPr>
          <w:p w14:paraId="2D7AB5D3" w14:textId="77777777" w:rsidR="00AF7B9A" w:rsidRDefault="00AF7B9A" w:rsidP="00AF7B9A">
            <w:pPr>
              <w:jc w:val="center"/>
              <w:rPr>
                <w:rFonts w:ascii="Arial" w:hAnsi="Arial" w:cs="Arial"/>
                <w:color w:val="000000"/>
              </w:rPr>
            </w:pPr>
            <w:r>
              <w:rPr>
                <w:rFonts w:ascii="Arial" w:hAnsi="Arial" w:cs="Arial"/>
                <w:color w:val="000000"/>
              </w:rPr>
              <w:t>3</w:t>
            </w:r>
          </w:p>
        </w:tc>
        <w:tc>
          <w:tcPr>
            <w:tcW w:w="2776" w:type="dxa"/>
            <w:shd w:val="clear" w:color="auto" w:fill="auto"/>
            <w:vAlign w:val="bottom"/>
          </w:tcPr>
          <w:p w14:paraId="579E3B37" w14:textId="77777777" w:rsidR="00AF7B9A" w:rsidRDefault="00AF7B9A" w:rsidP="00AF7B9A">
            <w:pPr>
              <w:jc w:val="center"/>
              <w:rPr>
                <w:rFonts w:ascii="Arial" w:hAnsi="Arial" w:cs="Arial"/>
                <w:color w:val="000000"/>
              </w:rPr>
            </w:pPr>
            <w:r>
              <w:rPr>
                <w:rFonts w:ascii="Arial" w:hAnsi="Arial" w:cs="Arial"/>
                <w:color w:val="000000"/>
              </w:rPr>
              <w:t>1</w:t>
            </w:r>
          </w:p>
        </w:tc>
      </w:tr>
      <w:tr w:rsidR="00AF7B9A" w14:paraId="3FE3B980" w14:textId="77777777" w:rsidTr="0017490E">
        <w:tc>
          <w:tcPr>
            <w:tcW w:w="3001" w:type="dxa"/>
            <w:shd w:val="clear" w:color="auto" w:fill="auto"/>
            <w:vAlign w:val="bottom"/>
          </w:tcPr>
          <w:p w14:paraId="34D73A4A" w14:textId="77777777" w:rsidR="00AF7B9A" w:rsidRDefault="00AF7B9A" w:rsidP="00AF7B9A">
            <w:pPr>
              <w:jc w:val="center"/>
              <w:rPr>
                <w:rFonts w:ascii="Arial" w:hAnsi="Arial" w:cs="Arial"/>
                <w:color w:val="000000"/>
              </w:rPr>
            </w:pPr>
            <w:r>
              <w:rPr>
                <w:rFonts w:ascii="Arial" w:hAnsi="Arial" w:cs="Arial"/>
                <w:color w:val="000000"/>
              </w:rPr>
              <w:t>5</w:t>
            </w:r>
          </w:p>
        </w:tc>
        <w:tc>
          <w:tcPr>
            <w:tcW w:w="3002" w:type="dxa"/>
            <w:shd w:val="clear" w:color="auto" w:fill="auto"/>
            <w:vAlign w:val="bottom"/>
          </w:tcPr>
          <w:p w14:paraId="3FE3FFBA" w14:textId="5416D018" w:rsidR="00AF7B9A" w:rsidRDefault="005D0F5A" w:rsidP="00AF7B9A">
            <w:pPr>
              <w:jc w:val="center"/>
              <w:rPr>
                <w:rFonts w:ascii="Arial" w:hAnsi="Arial" w:cs="Arial"/>
                <w:color w:val="000000"/>
              </w:rPr>
            </w:pPr>
            <w:r>
              <w:rPr>
                <w:rFonts w:ascii="Arial" w:hAnsi="Arial" w:cs="Arial"/>
                <w:color w:val="000000"/>
              </w:rPr>
              <w:t>1</w:t>
            </w:r>
          </w:p>
        </w:tc>
        <w:tc>
          <w:tcPr>
            <w:tcW w:w="2776" w:type="dxa"/>
            <w:shd w:val="clear" w:color="auto" w:fill="auto"/>
            <w:vAlign w:val="bottom"/>
          </w:tcPr>
          <w:p w14:paraId="28D64A0E" w14:textId="77777777" w:rsidR="00AF7B9A" w:rsidRDefault="00AF7B9A" w:rsidP="00AF7B9A">
            <w:pPr>
              <w:jc w:val="center"/>
              <w:rPr>
                <w:rFonts w:ascii="Arial" w:hAnsi="Arial" w:cs="Arial"/>
                <w:color w:val="000000"/>
              </w:rPr>
            </w:pPr>
            <w:r>
              <w:rPr>
                <w:rFonts w:ascii="Arial" w:hAnsi="Arial" w:cs="Arial"/>
                <w:color w:val="000000"/>
              </w:rPr>
              <w:t>2</w:t>
            </w:r>
          </w:p>
        </w:tc>
      </w:tr>
      <w:tr w:rsidR="00AF7B9A" w14:paraId="462C9622" w14:textId="77777777" w:rsidTr="0017490E">
        <w:tc>
          <w:tcPr>
            <w:tcW w:w="3001" w:type="dxa"/>
            <w:shd w:val="clear" w:color="auto" w:fill="auto"/>
            <w:vAlign w:val="bottom"/>
          </w:tcPr>
          <w:p w14:paraId="1E50491B" w14:textId="77777777" w:rsidR="00AF7B9A" w:rsidRDefault="00AF7B9A" w:rsidP="00AF7B9A">
            <w:pPr>
              <w:jc w:val="center"/>
              <w:rPr>
                <w:rFonts w:ascii="Arial" w:hAnsi="Arial" w:cs="Arial"/>
                <w:color w:val="000000"/>
              </w:rPr>
            </w:pPr>
            <w:r>
              <w:rPr>
                <w:rFonts w:ascii="Arial" w:hAnsi="Arial" w:cs="Arial"/>
                <w:color w:val="000000"/>
              </w:rPr>
              <w:t>5</w:t>
            </w:r>
          </w:p>
        </w:tc>
        <w:tc>
          <w:tcPr>
            <w:tcW w:w="3002" w:type="dxa"/>
            <w:shd w:val="clear" w:color="auto" w:fill="auto"/>
            <w:vAlign w:val="bottom"/>
          </w:tcPr>
          <w:p w14:paraId="09114FFA" w14:textId="77777777" w:rsidR="00AF7B9A" w:rsidRDefault="00AF7B9A" w:rsidP="00AF7B9A">
            <w:pPr>
              <w:jc w:val="center"/>
              <w:rPr>
                <w:rFonts w:ascii="Arial" w:hAnsi="Arial" w:cs="Arial"/>
                <w:color w:val="000000"/>
              </w:rPr>
            </w:pPr>
            <w:r>
              <w:rPr>
                <w:rFonts w:ascii="Arial" w:hAnsi="Arial" w:cs="Arial"/>
                <w:color w:val="000000"/>
              </w:rPr>
              <w:t>8</w:t>
            </w:r>
          </w:p>
        </w:tc>
        <w:tc>
          <w:tcPr>
            <w:tcW w:w="2776" w:type="dxa"/>
            <w:shd w:val="clear" w:color="auto" w:fill="auto"/>
            <w:vAlign w:val="bottom"/>
          </w:tcPr>
          <w:p w14:paraId="7835E203" w14:textId="77777777" w:rsidR="00AF7B9A" w:rsidRDefault="00AF7B9A" w:rsidP="00AF7B9A">
            <w:pPr>
              <w:jc w:val="center"/>
              <w:rPr>
                <w:rFonts w:ascii="Arial" w:hAnsi="Arial" w:cs="Arial"/>
                <w:color w:val="000000"/>
              </w:rPr>
            </w:pPr>
            <w:r>
              <w:rPr>
                <w:rFonts w:ascii="Arial" w:hAnsi="Arial" w:cs="Arial"/>
                <w:color w:val="000000"/>
              </w:rPr>
              <w:t>16</w:t>
            </w:r>
          </w:p>
        </w:tc>
      </w:tr>
      <w:tr w:rsidR="00AF7B9A" w14:paraId="3FDC6BAC" w14:textId="77777777" w:rsidTr="0017490E">
        <w:tc>
          <w:tcPr>
            <w:tcW w:w="3001" w:type="dxa"/>
            <w:shd w:val="clear" w:color="auto" w:fill="auto"/>
            <w:vAlign w:val="bottom"/>
          </w:tcPr>
          <w:p w14:paraId="378878BC" w14:textId="77777777" w:rsidR="00AF7B9A" w:rsidRDefault="00AF7B9A" w:rsidP="00AF7B9A">
            <w:pPr>
              <w:jc w:val="center"/>
              <w:rPr>
                <w:rFonts w:ascii="Arial" w:hAnsi="Arial" w:cs="Arial"/>
                <w:color w:val="000000"/>
              </w:rPr>
            </w:pPr>
            <w:r>
              <w:rPr>
                <w:rFonts w:ascii="Arial" w:hAnsi="Arial" w:cs="Arial"/>
                <w:color w:val="000000"/>
              </w:rPr>
              <w:t>24</w:t>
            </w:r>
          </w:p>
        </w:tc>
        <w:tc>
          <w:tcPr>
            <w:tcW w:w="3002" w:type="dxa"/>
            <w:shd w:val="clear" w:color="auto" w:fill="auto"/>
            <w:vAlign w:val="bottom"/>
          </w:tcPr>
          <w:p w14:paraId="098C8ABC" w14:textId="77777777" w:rsidR="00AF7B9A" w:rsidRDefault="00AF7B9A" w:rsidP="00AF7B9A">
            <w:pPr>
              <w:jc w:val="center"/>
              <w:rPr>
                <w:rFonts w:ascii="Arial" w:hAnsi="Arial" w:cs="Arial"/>
                <w:color w:val="000000"/>
              </w:rPr>
            </w:pPr>
            <w:r>
              <w:rPr>
                <w:rFonts w:ascii="Arial" w:hAnsi="Arial" w:cs="Arial"/>
                <w:color w:val="000000"/>
              </w:rPr>
              <w:t>1</w:t>
            </w:r>
          </w:p>
        </w:tc>
        <w:tc>
          <w:tcPr>
            <w:tcW w:w="2776" w:type="dxa"/>
            <w:shd w:val="clear" w:color="auto" w:fill="auto"/>
            <w:vAlign w:val="bottom"/>
          </w:tcPr>
          <w:p w14:paraId="6FB2F7E1" w14:textId="77777777" w:rsidR="00AF7B9A" w:rsidRDefault="00AF7B9A" w:rsidP="00AF7B9A">
            <w:pPr>
              <w:jc w:val="center"/>
              <w:rPr>
                <w:rFonts w:ascii="Arial" w:hAnsi="Arial" w:cs="Arial"/>
                <w:color w:val="000000"/>
              </w:rPr>
            </w:pPr>
            <w:r>
              <w:rPr>
                <w:rFonts w:ascii="Arial" w:hAnsi="Arial" w:cs="Arial"/>
                <w:color w:val="000000"/>
              </w:rPr>
              <w:t>2</w:t>
            </w:r>
          </w:p>
        </w:tc>
      </w:tr>
      <w:tr w:rsidR="00AF7B9A" w14:paraId="67D42210" w14:textId="77777777" w:rsidTr="0017490E">
        <w:tc>
          <w:tcPr>
            <w:tcW w:w="3001" w:type="dxa"/>
            <w:shd w:val="clear" w:color="auto" w:fill="auto"/>
            <w:vAlign w:val="bottom"/>
          </w:tcPr>
          <w:p w14:paraId="061B85EC" w14:textId="77777777" w:rsidR="00AF7B9A" w:rsidRDefault="00AF7B9A" w:rsidP="00AF7B9A">
            <w:pPr>
              <w:jc w:val="center"/>
              <w:rPr>
                <w:rFonts w:ascii="Arial" w:hAnsi="Arial" w:cs="Arial"/>
                <w:color w:val="000000"/>
              </w:rPr>
            </w:pPr>
            <w:r>
              <w:rPr>
                <w:rFonts w:ascii="Arial" w:hAnsi="Arial" w:cs="Arial"/>
                <w:color w:val="000000"/>
              </w:rPr>
              <w:t>4</w:t>
            </w:r>
          </w:p>
        </w:tc>
        <w:tc>
          <w:tcPr>
            <w:tcW w:w="3002" w:type="dxa"/>
            <w:shd w:val="clear" w:color="auto" w:fill="auto"/>
            <w:vAlign w:val="bottom"/>
          </w:tcPr>
          <w:p w14:paraId="68ED5971" w14:textId="77777777" w:rsidR="00AF7B9A" w:rsidRDefault="00AF7B9A" w:rsidP="00AF7B9A">
            <w:pPr>
              <w:jc w:val="center"/>
              <w:rPr>
                <w:rFonts w:ascii="Arial" w:hAnsi="Arial" w:cs="Arial"/>
                <w:color w:val="000000"/>
              </w:rPr>
            </w:pPr>
            <w:r>
              <w:rPr>
                <w:rFonts w:ascii="Arial" w:hAnsi="Arial" w:cs="Arial"/>
                <w:color w:val="000000"/>
              </w:rPr>
              <w:t>8</w:t>
            </w:r>
          </w:p>
        </w:tc>
        <w:tc>
          <w:tcPr>
            <w:tcW w:w="2776" w:type="dxa"/>
            <w:shd w:val="clear" w:color="auto" w:fill="auto"/>
            <w:vAlign w:val="bottom"/>
          </w:tcPr>
          <w:p w14:paraId="748D326B" w14:textId="77777777" w:rsidR="00AF7B9A" w:rsidRDefault="00AF7B9A" w:rsidP="00AF7B9A">
            <w:pPr>
              <w:jc w:val="center"/>
              <w:rPr>
                <w:rFonts w:ascii="Arial" w:hAnsi="Arial" w:cs="Arial"/>
                <w:color w:val="000000"/>
              </w:rPr>
            </w:pPr>
            <w:r>
              <w:rPr>
                <w:rFonts w:ascii="Arial" w:hAnsi="Arial" w:cs="Arial"/>
                <w:color w:val="000000"/>
              </w:rPr>
              <w:t>3</w:t>
            </w:r>
          </w:p>
        </w:tc>
      </w:tr>
      <w:tr w:rsidR="00AF7B9A" w14:paraId="185FAD73" w14:textId="77777777" w:rsidTr="0017490E">
        <w:tc>
          <w:tcPr>
            <w:tcW w:w="3001" w:type="dxa"/>
            <w:shd w:val="clear" w:color="auto" w:fill="auto"/>
            <w:vAlign w:val="bottom"/>
          </w:tcPr>
          <w:p w14:paraId="502BAEEE" w14:textId="77777777" w:rsidR="00AF7B9A" w:rsidRDefault="00AF7B9A" w:rsidP="00AF7B9A">
            <w:pPr>
              <w:jc w:val="center"/>
              <w:rPr>
                <w:rFonts w:ascii="Arial" w:hAnsi="Arial" w:cs="Arial"/>
                <w:color w:val="000000"/>
              </w:rPr>
            </w:pPr>
            <w:r>
              <w:rPr>
                <w:rFonts w:ascii="Arial" w:hAnsi="Arial" w:cs="Arial"/>
                <w:color w:val="000000"/>
              </w:rPr>
              <w:t>3</w:t>
            </w:r>
          </w:p>
        </w:tc>
        <w:tc>
          <w:tcPr>
            <w:tcW w:w="3002" w:type="dxa"/>
            <w:shd w:val="clear" w:color="auto" w:fill="auto"/>
            <w:vAlign w:val="bottom"/>
          </w:tcPr>
          <w:p w14:paraId="36E2C89D" w14:textId="77777777" w:rsidR="00AF7B9A" w:rsidRDefault="00AF7B9A" w:rsidP="00AF7B9A">
            <w:pPr>
              <w:jc w:val="center"/>
              <w:rPr>
                <w:rFonts w:ascii="Arial" w:hAnsi="Arial" w:cs="Arial"/>
                <w:color w:val="000000"/>
              </w:rPr>
            </w:pPr>
            <w:r>
              <w:rPr>
                <w:rFonts w:ascii="Arial" w:hAnsi="Arial" w:cs="Arial"/>
                <w:color w:val="000000"/>
              </w:rPr>
              <w:t>2</w:t>
            </w:r>
          </w:p>
        </w:tc>
        <w:tc>
          <w:tcPr>
            <w:tcW w:w="2776" w:type="dxa"/>
            <w:shd w:val="clear" w:color="auto" w:fill="auto"/>
            <w:vAlign w:val="bottom"/>
          </w:tcPr>
          <w:p w14:paraId="3536F4F2" w14:textId="77777777" w:rsidR="00AF7B9A" w:rsidRDefault="00AF7B9A" w:rsidP="00AF7B9A">
            <w:pPr>
              <w:jc w:val="center"/>
              <w:rPr>
                <w:rFonts w:ascii="Arial" w:hAnsi="Arial" w:cs="Arial"/>
                <w:color w:val="000000"/>
              </w:rPr>
            </w:pPr>
            <w:r>
              <w:rPr>
                <w:rFonts w:ascii="Arial" w:hAnsi="Arial" w:cs="Arial"/>
                <w:color w:val="000000"/>
              </w:rPr>
              <w:t>5</w:t>
            </w:r>
          </w:p>
        </w:tc>
      </w:tr>
      <w:tr w:rsidR="00AF7B9A" w14:paraId="39D22744" w14:textId="77777777" w:rsidTr="0017490E">
        <w:tc>
          <w:tcPr>
            <w:tcW w:w="3001" w:type="dxa"/>
            <w:shd w:val="clear" w:color="auto" w:fill="auto"/>
            <w:vAlign w:val="bottom"/>
          </w:tcPr>
          <w:p w14:paraId="298DDDD6" w14:textId="77777777" w:rsidR="00AF7B9A" w:rsidRDefault="00AF7B9A" w:rsidP="00AF7B9A">
            <w:pPr>
              <w:jc w:val="center"/>
              <w:rPr>
                <w:rFonts w:ascii="Arial" w:hAnsi="Arial" w:cs="Arial"/>
                <w:color w:val="000000"/>
              </w:rPr>
            </w:pPr>
            <w:r>
              <w:rPr>
                <w:rFonts w:ascii="Arial" w:hAnsi="Arial" w:cs="Arial"/>
                <w:color w:val="000000"/>
              </w:rPr>
              <w:t>3</w:t>
            </w:r>
          </w:p>
        </w:tc>
        <w:tc>
          <w:tcPr>
            <w:tcW w:w="3002" w:type="dxa"/>
            <w:shd w:val="clear" w:color="auto" w:fill="auto"/>
            <w:vAlign w:val="bottom"/>
          </w:tcPr>
          <w:p w14:paraId="4284120A" w14:textId="77777777" w:rsidR="00AF7B9A" w:rsidRDefault="00AF7B9A" w:rsidP="00AF7B9A">
            <w:pPr>
              <w:jc w:val="center"/>
              <w:rPr>
                <w:rFonts w:ascii="Arial" w:hAnsi="Arial" w:cs="Arial"/>
                <w:color w:val="000000"/>
              </w:rPr>
            </w:pPr>
            <w:r>
              <w:rPr>
                <w:rFonts w:ascii="Arial" w:hAnsi="Arial" w:cs="Arial"/>
                <w:color w:val="000000"/>
              </w:rPr>
              <w:t>8</w:t>
            </w:r>
          </w:p>
        </w:tc>
        <w:tc>
          <w:tcPr>
            <w:tcW w:w="2776" w:type="dxa"/>
            <w:shd w:val="clear" w:color="auto" w:fill="auto"/>
            <w:vAlign w:val="bottom"/>
          </w:tcPr>
          <w:p w14:paraId="5FB4E56B" w14:textId="77777777" w:rsidR="00AF7B9A" w:rsidRDefault="00AF7B9A" w:rsidP="00AF7B9A">
            <w:pPr>
              <w:jc w:val="center"/>
              <w:rPr>
                <w:rFonts w:ascii="Arial" w:hAnsi="Arial" w:cs="Arial"/>
                <w:color w:val="000000"/>
              </w:rPr>
            </w:pPr>
            <w:r>
              <w:rPr>
                <w:rFonts w:ascii="Arial" w:hAnsi="Arial" w:cs="Arial"/>
                <w:color w:val="000000"/>
              </w:rPr>
              <w:t>1</w:t>
            </w:r>
          </w:p>
        </w:tc>
      </w:tr>
      <w:tr w:rsidR="00AF7B9A" w14:paraId="7E803397" w14:textId="77777777" w:rsidTr="0017490E">
        <w:tc>
          <w:tcPr>
            <w:tcW w:w="3001" w:type="dxa"/>
            <w:shd w:val="clear" w:color="auto" w:fill="auto"/>
            <w:vAlign w:val="bottom"/>
          </w:tcPr>
          <w:p w14:paraId="4E393D09" w14:textId="77777777" w:rsidR="00AF7B9A" w:rsidRDefault="00AF7B9A" w:rsidP="00AF7B9A">
            <w:pPr>
              <w:jc w:val="center"/>
              <w:rPr>
                <w:rFonts w:ascii="Arial" w:hAnsi="Arial" w:cs="Arial"/>
                <w:color w:val="000000"/>
              </w:rPr>
            </w:pPr>
            <w:r>
              <w:rPr>
                <w:rFonts w:ascii="Arial" w:hAnsi="Arial" w:cs="Arial"/>
                <w:color w:val="000000"/>
              </w:rPr>
              <w:t>2</w:t>
            </w:r>
          </w:p>
        </w:tc>
        <w:tc>
          <w:tcPr>
            <w:tcW w:w="3002" w:type="dxa"/>
            <w:shd w:val="clear" w:color="auto" w:fill="auto"/>
            <w:vAlign w:val="bottom"/>
          </w:tcPr>
          <w:p w14:paraId="04E75A3D" w14:textId="77777777" w:rsidR="00AF7B9A" w:rsidRDefault="00AF7B9A" w:rsidP="00AF7B9A">
            <w:pPr>
              <w:jc w:val="center"/>
              <w:rPr>
                <w:rFonts w:ascii="Arial" w:hAnsi="Arial" w:cs="Arial"/>
                <w:color w:val="000000"/>
              </w:rPr>
            </w:pPr>
            <w:r>
              <w:rPr>
                <w:rFonts w:ascii="Arial" w:hAnsi="Arial" w:cs="Arial"/>
                <w:color w:val="000000"/>
              </w:rPr>
              <w:t>3</w:t>
            </w:r>
          </w:p>
        </w:tc>
        <w:tc>
          <w:tcPr>
            <w:tcW w:w="2776" w:type="dxa"/>
            <w:shd w:val="clear" w:color="auto" w:fill="auto"/>
            <w:vAlign w:val="bottom"/>
          </w:tcPr>
          <w:p w14:paraId="3A7D9314" w14:textId="77777777" w:rsidR="00AF7B9A" w:rsidRDefault="00AF7B9A" w:rsidP="00AF7B9A">
            <w:pPr>
              <w:jc w:val="center"/>
              <w:rPr>
                <w:rFonts w:ascii="Arial" w:hAnsi="Arial" w:cs="Arial"/>
                <w:color w:val="000000"/>
              </w:rPr>
            </w:pPr>
            <w:r>
              <w:rPr>
                <w:rFonts w:ascii="Arial" w:hAnsi="Arial" w:cs="Arial"/>
                <w:color w:val="000000"/>
              </w:rPr>
              <w:t>1</w:t>
            </w:r>
          </w:p>
        </w:tc>
      </w:tr>
      <w:tr w:rsidR="00AF7B9A" w14:paraId="350D6D03" w14:textId="77777777" w:rsidTr="0017490E">
        <w:tc>
          <w:tcPr>
            <w:tcW w:w="3001" w:type="dxa"/>
            <w:shd w:val="clear" w:color="auto" w:fill="auto"/>
            <w:vAlign w:val="bottom"/>
          </w:tcPr>
          <w:p w14:paraId="17481315" w14:textId="77777777" w:rsidR="00AF7B9A" w:rsidRDefault="00AF7B9A" w:rsidP="00AF7B9A">
            <w:pPr>
              <w:jc w:val="center"/>
              <w:rPr>
                <w:rFonts w:ascii="Arial" w:hAnsi="Arial" w:cs="Arial"/>
                <w:color w:val="000000"/>
              </w:rPr>
            </w:pPr>
            <w:r>
              <w:rPr>
                <w:rFonts w:ascii="Arial" w:hAnsi="Arial" w:cs="Arial"/>
                <w:color w:val="000000"/>
              </w:rPr>
              <w:t>5</w:t>
            </w:r>
          </w:p>
        </w:tc>
        <w:tc>
          <w:tcPr>
            <w:tcW w:w="3002" w:type="dxa"/>
            <w:shd w:val="clear" w:color="auto" w:fill="auto"/>
            <w:vAlign w:val="bottom"/>
          </w:tcPr>
          <w:p w14:paraId="4310BD68" w14:textId="77777777" w:rsidR="00AF7B9A" w:rsidRDefault="00AF7B9A" w:rsidP="00AF7B9A">
            <w:pPr>
              <w:jc w:val="center"/>
              <w:rPr>
                <w:rFonts w:ascii="Arial" w:hAnsi="Arial" w:cs="Arial"/>
                <w:color w:val="000000"/>
              </w:rPr>
            </w:pPr>
            <w:r>
              <w:rPr>
                <w:rFonts w:ascii="Arial" w:hAnsi="Arial" w:cs="Arial"/>
                <w:color w:val="000000"/>
              </w:rPr>
              <w:t>8</w:t>
            </w:r>
          </w:p>
        </w:tc>
        <w:tc>
          <w:tcPr>
            <w:tcW w:w="2776" w:type="dxa"/>
            <w:shd w:val="clear" w:color="auto" w:fill="auto"/>
            <w:vAlign w:val="bottom"/>
          </w:tcPr>
          <w:p w14:paraId="743F2222" w14:textId="77777777" w:rsidR="00AF7B9A" w:rsidRDefault="00AF7B9A" w:rsidP="00AF7B9A">
            <w:pPr>
              <w:jc w:val="center"/>
              <w:rPr>
                <w:rFonts w:ascii="Arial" w:hAnsi="Arial" w:cs="Arial"/>
                <w:color w:val="000000"/>
              </w:rPr>
            </w:pPr>
            <w:r>
              <w:rPr>
                <w:rFonts w:ascii="Arial" w:hAnsi="Arial" w:cs="Arial"/>
                <w:color w:val="000000"/>
              </w:rPr>
              <w:t>8</w:t>
            </w:r>
          </w:p>
        </w:tc>
      </w:tr>
      <w:tr w:rsidR="005D0F5A" w14:paraId="55A37C05" w14:textId="77777777" w:rsidTr="0017490E">
        <w:tc>
          <w:tcPr>
            <w:tcW w:w="3001" w:type="dxa"/>
            <w:shd w:val="clear" w:color="auto" w:fill="auto"/>
            <w:vAlign w:val="bottom"/>
          </w:tcPr>
          <w:p w14:paraId="17BB0AAE" w14:textId="5F5447EE" w:rsidR="005D0F5A" w:rsidRPr="00026072" w:rsidRDefault="005D0F5A" w:rsidP="00AF7B9A">
            <w:pPr>
              <w:jc w:val="center"/>
              <w:rPr>
                <w:rFonts w:ascii="Arial" w:hAnsi="Arial" w:cs="Arial"/>
                <w:b/>
                <w:color w:val="000000"/>
              </w:rPr>
            </w:pPr>
            <w:r w:rsidRPr="00026072">
              <w:rPr>
                <w:rFonts w:ascii="Arial" w:hAnsi="Arial" w:cs="Arial"/>
                <w:b/>
                <w:color w:val="000000"/>
              </w:rPr>
              <w:t>56 (total)</w:t>
            </w:r>
          </w:p>
        </w:tc>
        <w:tc>
          <w:tcPr>
            <w:tcW w:w="3002" w:type="dxa"/>
            <w:shd w:val="clear" w:color="auto" w:fill="auto"/>
            <w:vAlign w:val="bottom"/>
          </w:tcPr>
          <w:p w14:paraId="7D956563" w14:textId="5C2E593C" w:rsidR="005D0F5A" w:rsidRPr="00026072" w:rsidRDefault="009362E0" w:rsidP="00AF7B9A">
            <w:pPr>
              <w:jc w:val="center"/>
              <w:rPr>
                <w:rFonts w:ascii="Arial" w:hAnsi="Arial" w:cs="Arial"/>
                <w:b/>
                <w:color w:val="000000"/>
              </w:rPr>
            </w:pPr>
            <w:r w:rsidRPr="00026072">
              <w:rPr>
                <w:rFonts w:ascii="Arial" w:hAnsi="Arial" w:cs="Arial"/>
                <w:b/>
                <w:color w:val="000000"/>
              </w:rPr>
              <w:t>42 (total</w:t>
            </w:r>
            <w:r w:rsidR="005755B9" w:rsidRPr="00026072">
              <w:rPr>
                <w:rFonts w:ascii="Arial" w:hAnsi="Arial" w:cs="Arial"/>
                <w:b/>
                <w:color w:val="000000"/>
              </w:rPr>
              <w:t>)</w:t>
            </w:r>
          </w:p>
        </w:tc>
        <w:tc>
          <w:tcPr>
            <w:tcW w:w="2776" w:type="dxa"/>
            <w:shd w:val="clear" w:color="auto" w:fill="auto"/>
            <w:vAlign w:val="bottom"/>
          </w:tcPr>
          <w:p w14:paraId="675F7F4C" w14:textId="5A73D5CD" w:rsidR="005D0F5A" w:rsidRPr="00026072" w:rsidRDefault="009362E0" w:rsidP="00AF7B9A">
            <w:pPr>
              <w:jc w:val="center"/>
              <w:rPr>
                <w:rFonts w:ascii="Arial" w:hAnsi="Arial" w:cs="Arial"/>
                <w:b/>
                <w:color w:val="000000"/>
              </w:rPr>
            </w:pPr>
            <w:r w:rsidRPr="00026072">
              <w:rPr>
                <w:rFonts w:ascii="Arial" w:hAnsi="Arial" w:cs="Arial"/>
                <w:b/>
                <w:color w:val="000000"/>
              </w:rPr>
              <w:t>59 (total)</w:t>
            </w:r>
          </w:p>
        </w:tc>
      </w:tr>
      <w:tr w:rsidR="005D0F5A" w14:paraId="01A84E4D" w14:textId="77777777" w:rsidTr="0017490E">
        <w:tc>
          <w:tcPr>
            <w:tcW w:w="3001" w:type="dxa"/>
            <w:shd w:val="clear" w:color="auto" w:fill="auto"/>
            <w:vAlign w:val="bottom"/>
          </w:tcPr>
          <w:p w14:paraId="51680748" w14:textId="1E819E61" w:rsidR="005D0F5A" w:rsidRPr="00026072" w:rsidRDefault="005D0F5A" w:rsidP="00AF7B9A">
            <w:pPr>
              <w:jc w:val="center"/>
              <w:rPr>
                <w:rFonts w:ascii="Arial" w:hAnsi="Arial" w:cs="Arial"/>
                <w:b/>
                <w:color w:val="000000"/>
              </w:rPr>
            </w:pPr>
            <w:r w:rsidRPr="00026072">
              <w:rPr>
                <w:rFonts w:ascii="Arial" w:hAnsi="Arial" w:cs="Arial"/>
                <w:b/>
                <w:color w:val="000000"/>
              </w:rPr>
              <w:t>5.6 (average)</w:t>
            </w:r>
          </w:p>
        </w:tc>
        <w:tc>
          <w:tcPr>
            <w:tcW w:w="3002" w:type="dxa"/>
            <w:shd w:val="clear" w:color="auto" w:fill="auto"/>
            <w:vAlign w:val="bottom"/>
          </w:tcPr>
          <w:p w14:paraId="1EEC2436" w14:textId="27320809" w:rsidR="005D0F5A" w:rsidRPr="00026072" w:rsidRDefault="005D0F5A" w:rsidP="00AF7B9A">
            <w:pPr>
              <w:jc w:val="center"/>
              <w:rPr>
                <w:rFonts w:ascii="Arial" w:hAnsi="Arial" w:cs="Arial"/>
                <w:b/>
                <w:color w:val="000000"/>
              </w:rPr>
            </w:pPr>
            <w:r w:rsidRPr="00026072">
              <w:rPr>
                <w:rFonts w:ascii="Arial" w:hAnsi="Arial" w:cs="Arial"/>
                <w:b/>
                <w:color w:val="000000"/>
              </w:rPr>
              <w:t>4.7 (average)</w:t>
            </w:r>
          </w:p>
        </w:tc>
        <w:tc>
          <w:tcPr>
            <w:tcW w:w="2776" w:type="dxa"/>
            <w:shd w:val="clear" w:color="auto" w:fill="auto"/>
            <w:vAlign w:val="bottom"/>
          </w:tcPr>
          <w:p w14:paraId="6435DE91" w14:textId="5385E861" w:rsidR="005D0F5A" w:rsidRPr="00026072" w:rsidRDefault="005D0F5A" w:rsidP="00AF7B9A">
            <w:pPr>
              <w:jc w:val="center"/>
              <w:rPr>
                <w:rFonts w:ascii="Arial" w:hAnsi="Arial" w:cs="Arial"/>
                <w:b/>
                <w:color w:val="000000"/>
              </w:rPr>
            </w:pPr>
            <w:r w:rsidRPr="00026072">
              <w:rPr>
                <w:rFonts w:ascii="Arial" w:hAnsi="Arial" w:cs="Arial"/>
                <w:b/>
                <w:color w:val="000000"/>
              </w:rPr>
              <w:t>5.9 (average)</w:t>
            </w:r>
          </w:p>
        </w:tc>
      </w:tr>
    </w:tbl>
    <w:p w14:paraId="48909854" w14:textId="49D7EF96" w:rsidR="00FC0476" w:rsidRDefault="00DF6168" w:rsidP="009362E0">
      <w:pPr>
        <w:rPr>
          <w:rFonts w:cs="Arial"/>
        </w:rPr>
      </w:pPr>
      <w:r w:rsidRPr="0059799A">
        <w:t xml:space="preserve"> </w:t>
      </w:r>
    </w:p>
    <w:p w14:paraId="5AF40586" w14:textId="7C0F2F6C" w:rsidR="00FC0476" w:rsidRDefault="00FC0476" w:rsidP="009362E0">
      <w:pPr>
        <w:jc w:val="center"/>
        <w:rPr>
          <w:noProof/>
          <w:lang w:eastAsia="en-NZ"/>
        </w:rPr>
      </w:pPr>
      <w:r w:rsidRPr="003E60D2">
        <w:rPr>
          <w:rFonts w:cs="Arial"/>
          <w:b/>
          <w:color w:val="004150"/>
        </w:rPr>
        <w:t xml:space="preserve">Office of the Privacy Commissioner </w:t>
      </w:r>
      <w:r w:rsidR="0064307F" w:rsidRPr="003E60D2">
        <w:rPr>
          <w:rFonts w:cs="Arial"/>
          <w:b/>
          <w:color w:val="004150"/>
        </w:rPr>
        <w:t>| www.privacy.org.nz</w:t>
      </w:r>
      <w:r w:rsidRPr="003E60D2">
        <w:rPr>
          <w:rFonts w:cs="Arial"/>
          <w:b/>
          <w:color w:val="004150"/>
        </w:rPr>
        <w:t xml:space="preserve">  |  Enquiries 0800 803 909</w:t>
      </w:r>
    </w:p>
    <w:sectPr w:rsidR="00FC0476" w:rsidSect="00403AE8">
      <w:footerReference w:type="default" r:id="rId13"/>
      <w:pgSz w:w="11906" w:h="16838"/>
      <w:pgMar w:top="1440" w:right="1440" w:bottom="993" w:left="1440" w:header="708" w:footer="4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4963A" w14:textId="77777777" w:rsidR="00AA6245" w:rsidRDefault="00AA6245" w:rsidP="00B82205">
      <w:pPr>
        <w:spacing w:after="0" w:line="240" w:lineRule="auto"/>
      </w:pPr>
      <w:r>
        <w:separator/>
      </w:r>
    </w:p>
  </w:endnote>
  <w:endnote w:type="continuationSeparator" w:id="0">
    <w:p w14:paraId="12023A82" w14:textId="77777777" w:rsidR="00AA6245" w:rsidRDefault="00AA6245" w:rsidP="00B8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0DD80" w14:textId="77777777" w:rsidR="0059799A" w:rsidRDefault="0059799A">
    <w:pPr>
      <w:pStyle w:val="Footer"/>
      <w:jc w:val="center"/>
    </w:pPr>
  </w:p>
  <w:p w14:paraId="62EE6E1C" w14:textId="77777777" w:rsidR="00B82205" w:rsidRDefault="00B82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A5B11" w14:textId="42E32803" w:rsidR="00FF3C87" w:rsidRDefault="00FF3C87" w:rsidP="00403AE8">
    <w:pPr>
      <w:pStyle w:val="Footer"/>
      <w:jc w:val="right"/>
      <w:rPr>
        <w:b/>
        <w:bCs/>
      </w:rPr>
    </w:pPr>
  </w:p>
  <w:p w14:paraId="1F82D468" w14:textId="77777777" w:rsidR="00403AE8" w:rsidRDefault="00403AE8" w:rsidP="00403AE8">
    <w:pPr>
      <w:pStyle w:val="Footer"/>
      <w:jc w:val="right"/>
      <w:rPr>
        <w:color w:val="808080" w:themeColor="background1" w:themeShade="80"/>
        <w:spacing w:val="60"/>
      </w:rPr>
    </w:pPr>
    <w:r>
      <w:rPr>
        <w:noProof/>
      </w:rPr>
      <w:drawing>
        <wp:inline distT="0" distB="0" distL="0" distR="0" wp14:anchorId="28FBDEDE" wp14:editId="1EC235B9">
          <wp:extent cx="1895475" cy="430980"/>
          <wp:effectExtent l="0" t="0" r="0" b="7620"/>
          <wp:docPr id="7" name="Picture 7"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acrons_Small_CMYK (002).jpg"/>
                  <pic:cNvPicPr/>
                </pic:nvPicPr>
                <pic:blipFill rotWithShape="1">
                  <a:blip r:embed="rId1">
                    <a:extLst>
                      <a:ext uri="{28A0092B-C50C-407E-A947-70E740481C1C}">
                        <a14:useLocalDpi xmlns:a14="http://schemas.microsoft.com/office/drawing/2010/main" val="0"/>
                      </a:ext>
                    </a:extLst>
                  </a:blip>
                  <a:srcRect l="13661" t="31309" r="13534" b="31622"/>
                  <a:stretch/>
                </pic:blipFill>
                <pic:spPr bwMode="auto">
                  <a:xfrm>
                    <a:off x="0" y="0"/>
                    <a:ext cx="2016495" cy="458497"/>
                  </a:xfrm>
                  <a:prstGeom prst="rect">
                    <a:avLst/>
                  </a:prstGeom>
                  <a:ln>
                    <a:noFill/>
                  </a:ln>
                  <a:extLst>
                    <a:ext uri="{53640926-AAD7-44D8-BBD7-CCE9431645EC}">
                      <a14:shadowObscured xmlns:a14="http://schemas.microsoft.com/office/drawing/2010/main"/>
                    </a:ext>
                  </a:extLst>
                </pic:spPr>
              </pic:pic>
            </a:graphicData>
          </a:graphic>
        </wp:inline>
      </w:drawing>
    </w:r>
    <w:r>
      <w:tab/>
    </w:r>
    <w:r>
      <w:tab/>
    </w:r>
    <w:sdt>
      <w:sdtPr>
        <w:id w:val="-514853031"/>
        <w:docPartObj>
          <w:docPartGallery w:val="Page Numbers (Bottom of Page)"/>
          <w:docPartUnique/>
        </w:docPartObj>
      </w:sdtPr>
      <w:sdtEndPr>
        <w:rPr>
          <w:color w:val="808080" w:themeColor="background1" w:themeShade="80"/>
          <w:spacing w:val="60"/>
        </w:rPr>
      </w:sdtEndPr>
      <w:sdtContent>
        <w:r w:rsidRPr="00403AE8">
          <w:rPr>
            <w:rFonts w:ascii="Arial" w:hAnsi="Arial" w:cs="Arial"/>
            <w:sz w:val="16"/>
            <w:szCs w:val="16"/>
          </w:rPr>
          <w:fldChar w:fldCharType="begin"/>
        </w:r>
        <w:r w:rsidRPr="00403AE8">
          <w:rPr>
            <w:rFonts w:ascii="Arial" w:hAnsi="Arial" w:cs="Arial"/>
            <w:sz w:val="16"/>
            <w:szCs w:val="16"/>
          </w:rPr>
          <w:instrText xml:space="preserve"> PAGE   \* MERGEFORMAT </w:instrText>
        </w:r>
        <w:r w:rsidRPr="00403AE8">
          <w:rPr>
            <w:rFonts w:ascii="Arial" w:hAnsi="Arial" w:cs="Arial"/>
            <w:sz w:val="16"/>
            <w:szCs w:val="16"/>
          </w:rPr>
          <w:fldChar w:fldCharType="separate"/>
        </w:r>
        <w:r w:rsidRPr="00403AE8">
          <w:rPr>
            <w:rFonts w:ascii="Arial" w:hAnsi="Arial" w:cs="Arial"/>
            <w:sz w:val="16"/>
            <w:szCs w:val="16"/>
          </w:rPr>
          <w:t>3</w:t>
        </w:r>
        <w:r w:rsidRPr="00403AE8">
          <w:rPr>
            <w:rFonts w:ascii="Arial" w:hAnsi="Arial" w:cs="Arial"/>
            <w:b/>
            <w:bCs/>
            <w:noProof/>
            <w:sz w:val="16"/>
            <w:szCs w:val="16"/>
          </w:rPr>
          <w:fldChar w:fldCharType="end"/>
        </w:r>
        <w:r w:rsidRPr="00403AE8">
          <w:rPr>
            <w:rFonts w:ascii="Arial" w:hAnsi="Arial" w:cs="Arial"/>
            <w:b/>
            <w:bCs/>
            <w:sz w:val="16"/>
            <w:szCs w:val="16"/>
          </w:rPr>
          <w:t xml:space="preserve"> | </w:t>
        </w:r>
        <w:r w:rsidRPr="00403AE8">
          <w:rPr>
            <w:rFonts w:ascii="Arial" w:hAnsi="Arial" w:cs="Arial"/>
            <w:color w:val="808080" w:themeColor="background1" w:themeShade="80"/>
            <w:spacing w:val="60"/>
            <w:sz w:val="16"/>
            <w:szCs w:val="16"/>
          </w:rPr>
          <w:t>Page</w:t>
        </w:r>
      </w:sdtContent>
    </w:sdt>
  </w:p>
  <w:p w14:paraId="73D48233" w14:textId="1B4FEE00" w:rsidR="00FF3C87" w:rsidRDefault="00FF3C87" w:rsidP="00B65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DE3BC" w14:textId="77777777" w:rsidR="00AA6245" w:rsidRDefault="00AA6245" w:rsidP="00B82205">
      <w:pPr>
        <w:spacing w:after="0" w:line="240" w:lineRule="auto"/>
      </w:pPr>
      <w:r>
        <w:separator/>
      </w:r>
    </w:p>
  </w:footnote>
  <w:footnote w:type="continuationSeparator" w:id="0">
    <w:p w14:paraId="57AD819B" w14:textId="77777777" w:rsidR="00AA6245" w:rsidRDefault="00AA6245" w:rsidP="00B82205">
      <w:pPr>
        <w:spacing w:after="0" w:line="240" w:lineRule="auto"/>
      </w:pPr>
      <w:r>
        <w:continuationSeparator/>
      </w:r>
    </w:p>
  </w:footnote>
  <w:footnote w:id="1">
    <w:p w14:paraId="63D07AAB" w14:textId="1166A15E" w:rsidR="009026E6" w:rsidRPr="00403AE8" w:rsidRDefault="009026E6">
      <w:pPr>
        <w:pStyle w:val="FootnoteText"/>
        <w:rPr>
          <w:rFonts w:ascii="Arial" w:hAnsi="Arial" w:cs="Arial"/>
        </w:rPr>
      </w:pPr>
      <w:r w:rsidRPr="00403AE8">
        <w:rPr>
          <w:rStyle w:val="FootnoteReference"/>
          <w:rFonts w:ascii="Arial" w:hAnsi="Arial" w:cs="Arial"/>
        </w:rPr>
        <w:footnoteRef/>
      </w:r>
      <w:r w:rsidRPr="00403AE8">
        <w:rPr>
          <w:rFonts w:ascii="Arial" w:hAnsi="Arial" w:cs="Arial"/>
        </w:rPr>
        <w:t xml:space="preserve"> One Equifax report was not requested due to identity verification issues. The sample size for Equifax was reduced to 10 free reports so that some resource could be allocated to apply for Equifax’s Credit Alert </w:t>
      </w:r>
      <w:r w:rsidR="00C83A91" w:rsidRPr="00403AE8">
        <w:rPr>
          <w:rFonts w:ascii="Arial" w:hAnsi="Arial" w:cs="Arial"/>
        </w:rPr>
        <w:t>service and</w:t>
      </w:r>
      <w:r w:rsidR="00B973CD" w:rsidRPr="00403AE8">
        <w:rPr>
          <w:rFonts w:ascii="Arial" w:hAnsi="Arial" w:cs="Arial"/>
        </w:rPr>
        <w:t xml:space="preserve"> </w:t>
      </w:r>
      <w:r w:rsidRPr="00403AE8">
        <w:rPr>
          <w:rFonts w:ascii="Arial" w:hAnsi="Arial" w:cs="Arial"/>
        </w:rPr>
        <w:t xml:space="preserve">maintain an even overall sample selection across the three providers.    </w:t>
      </w:r>
    </w:p>
  </w:footnote>
  <w:footnote w:id="2">
    <w:p w14:paraId="79D1664A" w14:textId="77777777" w:rsidR="00B973CD" w:rsidRPr="00403AE8" w:rsidRDefault="00B973CD" w:rsidP="00B973CD">
      <w:pPr>
        <w:pStyle w:val="FootnoteText"/>
        <w:rPr>
          <w:rFonts w:ascii="Arial" w:hAnsi="Arial" w:cs="Arial"/>
        </w:rPr>
      </w:pPr>
      <w:r w:rsidRPr="00403AE8">
        <w:rPr>
          <w:rStyle w:val="FootnoteReference"/>
          <w:rFonts w:ascii="Arial" w:hAnsi="Arial" w:cs="Arial"/>
        </w:rPr>
        <w:footnoteRef/>
      </w:r>
      <w:r w:rsidRPr="00403AE8">
        <w:rPr>
          <w:rFonts w:ascii="Arial" w:hAnsi="Arial" w:cs="Arial"/>
        </w:rPr>
        <w:t xml:space="preserve"> One Illion report was never received.</w:t>
      </w:r>
    </w:p>
  </w:footnote>
  <w:footnote w:id="3">
    <w:p w14:paraId="6DC5307C" w14:textId="7E9EFDC9" w:rsidR="009026E6" w:rsidRPr="00403AE8" w:rsidRDefault="009026E6">
      <w:pPr>
        <w:pStyle w:val="FootnoteText"/>
        <w:rPr>
          <w:rFonts w:ascii="Arial" w:hAnsi="Arial" w:cs="Arial"/>
        </w:rPr>
      </w:pPr>
      <w:r w:rsidRPr="00403AE8">
        <w:rPr>
          <w:rStyle w:val="FootnoteReference"/>
          <w:rFonts w:ascii="Arial" w:hAnsi="Arial" w:cs="Arial"/>
        </w:rPr>
        <w:footnoteRef/>
      </w:r>
      <w:r w:rsidRPr="00403AE8">
        <w:rPr>
          <w:rFonts w:ascii="Arial" w:hAnsi="Arial" w:cs="Arial"/>
        </w:rPr>
        <w:t xml:space="preserve"> One p</w:t>
      </w:r>
      <w:r w:rsidR="00BF492D" w:rsidRPr="00403AE8">
        <w:rPr>
          <w:rFonts w:ascii="Arial" w:hAnsi="Arial" w:cs="Arial"/>
        </w:rPr>
        <w:t>articipant</w:t>
      </w:r>
      <w:r w:rsidRPr="00403AE8">
        <w:rPr>
          <w:rFonts w:ascii="Arial" w:hAnsi="Arial" w:cs="Arial"/>
        </w:rPr>
        <w:t xml:space="preserve"> was unable to access the </w:t>
      </w:r>
      <w:r w:rsidR="00BA10FA" w:rsidRPr="00403AE8">
        <w:rPr>
          <w:rFonts w:ascii="Arial" w:hAnsi="Arial" w:cs="Arial"/>
        </w:rPr>
        <w:t>i</w:t>
      </w:r>
      <w:r w:rsidRPr="00403AE8">
        <w:rPr>
          <w:rFonts w:ascii="Arial" w:hAnsi="Arial" w:cs="Arial"/>
        </w:rPr>
        <w:t>llion service – an undefined technical issue</w:t>
      </w:r>
    </w:p>
  </w:footnote>
  <w:footnote w:id="4">
    <w:p w14:paraId="43D171A8" w14:textId="4F90B4EC" w:rsidR="007E1C26" w:rsidRPr="00403AE8" w:rsidRDefault="007E1C26" w:rsidP="007E1C26">
      <w:pPr>
        <w:pStyle w:val="FootnoteText"/>
        <w:rPr>
          <w:rFonts w:ascii="Arial" w:hAnsi="Arial" w:cs="Arial"/>
        </w:rPr>
      </w:pPr>
      <w:r w:rsidRPr="00403AE8">
        <w:rPr>
          <w:rStyle w:val="FootnoteReference"/>
          <w:rFonts w:ascii="Arial" w:hAnsi="Arial" w:cs="Arial"/>
        </w:rPr>
        <w:footnoteRef/>
      </w:r>
      <w:r w:rsidRPr="00403AE8">
        <w:rPr>
          <w:rFonts w:ascii="Arial" w:hAnsi="Arial" w:cs="Arial"/>
        </w:rPr>
        <w:t xml:space="preserve"> Rule 9: A credit reporter that holds credit information must not keep that information for longer than is required for the purposes for which the information may lawfully be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484FB" w14:textId="77777777" w:rsidR="0025785A" w:rsidRDefault="0025785A" w:rsidP="0025785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6E15"/>
    <w:multiLevelType w:val="hybridMultilevel"/>
    <w:tmpl w:val="B3F447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48A6B25"/>
    <w:multiLevelType w:val="hybridMultilevel"/>
    <w:tmpl w:val="8B26C8D2"/>
    <w:lvl w:ilvl="0" w:tplc="B64AB35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7F35BF3"/>
    <w:multiLevelType w:val="hybridMultilevel"/>
    <w:tmpl w:val="93DA75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9763A8F"/>
    <w:multiLevelType w:val="hybridMultilevel"/>
    <w:tmpl w:val="9AE24F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0377566"/>
    <w:multiLevelType w:val="hybridMultilevel"/>
    <w:tmpl w:val="5B1826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10370D1"/>
    <w:multiLevelType w:val="hybridMultilevel"/>
    <w:tmpl w:val="B218E6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38E78C9"/>
    <w:multiLevelType w:val="hybridMultilevel"/>
    <w:tmpl w:val="5394C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3F44A0A"/>
    <w:multiLevelType w:val="hybridMultilevel"/>
    <w:tmpl w:val="44889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36B2FC9"/>
    <w:multiLevelType w:val="hybridMultilevel"/>
    <w:tmpl w:val="C06C9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4"/>
  </w:num>
  <w:num w:numId="5">
    <w:abstractNumId w:val="2"/>
  </w:num>
  <w:num w:numId="6">
    <w:abstractNumId w:val="0"/>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0B"/>
    <w:rsid w:val="0000052D"/>
    <w:rsid w:val="00002089"/>
    <w:rsid w:val="00014564"/>
    <w:rsid w:val="00016180"/>
    <w:rsid w:val="0002119F"/>
    <w:rsid w:val="00026072"/>
    <w:rsid w:val="000369EE"/>
    <w:rsid w:val="00041A1E"/>
    <w:rsid w:val="0004611D"/>
    <w:rsid w:val="00050AE8"/>
    <w:rsid w:val="000576F6"/>
    <w:rsid w:val="0006000F"/>
    <w:rsid w:val="00071227"/>
    <w:rsid w:val="000753EC"/>
    <w:rsid w:val="00077FCE"/>
    <w:rsid w:val="000829E3"/>
    <w:rsid w:val="000855C7"/>
    <w:rsid w:val="00090CDF"/>
    <w:rsid w:val="000A1EF3"/>
    <w:rsid w:val="000A53AB"/>
    <w:rsid w:val="000B38C3"/>
    <w:rsid w:val="000B6662"/>
    <w:rsid w:val="000C514C"/>
    <w:rsid w:val="000C5C9D"/>
    <w:rsid w:val="000C6F07"/>
    <w:rsid w:val="000F0C91"/>
    <w:rsid w:val="00106EB6"/>
    <w:rsid w:val="00114B46"/>
    <w:rsid w:val="00115E94"/>
    <w:rsid w:val="001235ED"/>
    <w:rsid w:val="00135585"/>
    <w:rsid w:val="00135D69"/>
    <w:rsid w:val="001362C3"/>
    <w:rsid w:val="001429C4"/>
    <w:rsid w:val="00171EFE"/>
    <w:rsid w:val="0017490E"/>
    <w:rsid w:val="00174E36"/>
    <w:rsid w:val="00195DCC"/>
    <w:rsid w:val="001A4D3C"/>
    <w:rsid w:val="001B519F"/>
    <w:rsid w:val="0020197A"/>
    <w:rsid w:val="002124CE"/>
    <w:rsid w:val="00215ADE"/>
    <w:rsid w:val="002226F4"/>
    <w:rsid w:val="002274E2"/>
    <w:rsid w:val="002331FF"/>
    <w:rsid w:val="00235B5D"/>
    <w:rsid w:val="002417B6"/>
    <w:rsid w:val="0024577A"/>
    <w:rsid w:val="00245A1C"/>
    <w:rsid w:val="00246682"/>
    <w:rsid w:val="00252B9E"/>
    <w:rsid w:val="0025785A"/>
    <w:rsid w:val="002611FA"/>
    <w:rsid w:val="002627FD"/>
    <w:rsid w:val="00265821"/>
    <w:rsid w:val="00267445"/>
    <w:rsid w:val="00271F4F"/>
    <w:rsid w:val="00276382"/>
    <w:rsid w:val="00283156"/>
    <w:rsid w:val="00284444"/>
    <w:rsid w:val="00287285"/>
    <w:rsid w:val="00296BA0"/>
    <w:rsid w:val="00296D7B"/>
    <w:rsid w:val="002A4076"/>
    <w:rsid w:val="002B04E2"/>
    <w:rsid w:val="002B2926"/>
    <w:rsid w:val="002C5E33"/>
    <w:rsid w:val="002D2D85"/>
    <w:rsid w:val="002E1962"/>
    <w:rsid w:val="002E30D2"/>
    <w:rsid w:val="002E7D03"/>
    <w:rsid w:val="002F5953"/>
    <w:rsid w:val="00304ABA"/>
    <w:rsid w:val="00304BEB"/>
    <w:rsid w:val="00305512"/>
    <w:rsid w:val="0031662B"/>
    <w:rsid w:val="0031717D"/>
    <w:rsid w:val="00320A9F"/>
    <w:rsid w:val="003269DD"/>
    <w:rsid w:val="0032704D"/>
    <w:rsid w:val="00335FBC"/>
    <w:rsid w:val="00337A07"/>
    <w:rsid w:val="003423B6"/>
    <w:rsid w:val="003642DD"/>
    <w:rsid w:val="00380A8E"/>
    <w:rsid w:val="00380E28"/>
    <w:rsid w:val="00386D87"/>
    <w:rsid w:val="003A73D6"/>
    <w:rsid w:val="003D0CB2"/>
    <w:rsid w:val="003D505B"/>
    <w:rsid w:val="003D51F3"/>
    <w:rsid w:val="003D79EE"/>
    <w:rsid w:val="003E28E8"/>
    <w:rsid w:val="003E60D2"/>
    <w:rsid w:val="003E66FA"/>
    <w:rsid w:val="003E7378"/>
    <w:rsid w:val="003F08CF"/>
    <w:rsid w:val="003F28E3"/>
    <w:rsid w:val="003F4368"/>
    <w:rsid w:val="003F5137"/>
    <w:rsid w:val="0040033F"/>
    <w:rsid w:val="004028BF"/>
    <w:rsid w:val="00403AE8"/>
    <w:rsid w:val="00414D3F"/>
    <w:rsid w:val="0041516C"/>
    <w:rsid w:val="00421A79"/>
    <w:rsid w:val="00434AD6"/>
    <w:rsid w:val="00436F7B"/>
    <w:rsid w:val="00440D0B"/>
    <w:rsid w:val="00447CB7"/>
    <w:rsid w:val="00461B16"/>
    <w:rsid w:val="004741A6"/>
    <w:rsid w:val="0049037B"/>
    <w:rsid w:val="004924DC"/>
    <w:rsid w:val="0049739C"/>
    <w:rsid w:val="004A299D"/>
    <w:rsid w:val="004A42C2"/>
    <w:rsid w:val="004A62E3"/>
    <w:rsid w:val="004A7B09"/>
    <w:rsid w:val="004B17F9"/>
    <w:rsid w:val="004B724F"/>
    <w:rsid w:val="004C5BA2"/>
    <w:rsid w:val="004E01EE"/>
    <w:rsid w:val="005047D6"/>
    <w:rsid w:val="005064DB"/>
    <w:rsid w:val="00512A3B"/>
    <w:rsid w:val="0051787F"/>
    <w:rsid w:val="00521E3B"/>
    <w:rsid w:val="00526E70"/>
    <w:rsid w:val="005331D7"/>
    <w:rsid w:val="005407AD"/>
    <w:rsid w:val="0055073A"/>
    <w:rsid w:val="005655E6"/>
    <w:rsid w:val="00565655"/>
    <w:rsid w:val="00570BA4"/>
    <w:rsid w:val="005755B9"/>
    <w:rsid w:val="00582ACE"/>
    <w:rsid w:val="0058663D"/>
    <w:rsid w:val="00591627"/>
    <w:rsid w:val="005975C2"/>
    <w:rsid w:val="0059799A"/>
    <w:rsid w:val="005A1480"/>
    <w:rsid w:val="005D0F5A"/>
    <w:rsid w:val="005D5299"/>
    <w:rsid w:val="005E01B3"/>
    <w:rsid w:val="005E2DAB"/>
    <w:rsid w:val="005E3058"/>
    <w:rsid w:val="005E3EEC"/>
    <w:rsid w:val="005E47A1"/>
    <w:rsid w:val="00601359"/>
    <w:rsid w:val="00602E4C"/>
    <w:rsid w:val="00604CF8"/>
    <w:rsid w:val="00625378"/>
    <w:rsid w:val="0062538E"/>
    <w:rsid w:val="006336CB"/>
    <w:rsid w:val="00640A58"/>
    <w:rsid w:val="0064307F"/>
    <w:rsid w:val="006543DB"/>
    <w:rsid w:val="006552CE"/>
    <w:rsid w:val="00670382"/>
    <w:rsid w:val="00673534"/>
    <w:rsid w:val="00682959"/>
    <w:rsid w:val="00691855"/>
    <w:rsid w:val="00693BC3"/>
    <w:rsid w:val="006952DB"/>
    <w:rsid w:val="006B6F23"/>
    <w:rsid w:val="006C08C4"/>
    <w:rsid w:val="006C7CD0"/>
    <w:rsid w:val="006D0950"/>
    <w:rsid w:val="006D26F8"/>
    <w:rsid w:val="006D5DE6"/>
    <w:rsid w:val="006E1BC9"/>
    <w:rsid w:val="006E63BA"/>
    <w:rsid w:val="006F4671"/>
    <w:rsid w:val="006F633E"/>
    <w:rsid w:val="00705C96"/>
    <w:rsid w:val="00720B86"/>
    <w:rsid w:val="00723FA4"/>
    <w:rsid w:val="00730B37"/>
    <w:rsid w:val="007377A7"/>
    <w:rsid w:val="00753D5D"/>
    <w:rsid w:val="0075773E"/>
    <w:rsid w:val="00761427"/>
    <w:rsid w:val="007616D9"/>
    <w:rsid w:val="00761FEC"/>
    <w:rsid w:val="007666D9"/>
    <w:rsid w:val="007670D7"/>
    <w:rsid w:val="00770C5C"/>
    <w:rsid w:val="0077464C"/>
    <w:rsid w:val="00775A09"/>
    <w:rsid w:val="00775BDD"/>
    <w:rsid w:val="00782882"/>
    <w:rsid w:val="0079129C"/>
    <w:rsid w:val="007A058E"/>
    <w:rsid w:val="007A0862"/>
    <w:rsid w:val="007A6421"/>
    <w:rsid w:val="007C6BEC"/>
    <w:rsid w:val="007C7DD5"/>
    <w:rsid w:val="007D4996"/>
    <w:rsid w:val="007E1C26"/>
    <w:rsid w:val="00817FCA"/>
    <w:rsid w:val="0082266A"/>
    <w:rsid w:val="008252C7"/>
    <w:rsid w:val="00826C8D"/>
    <w:rsid w:val="008352AD"/>
    <w:rsid w:val="0084636F"/>
    <w:rsid w:val="00861D78"/>
    <w:rsid w:val="008627EB"/>
    <w:rsid w:val="00864EFD"/>
    <w:rsid w:val="00866932"/>
    <w:rsid w:val="008927CE"/>
    <w:rsid w:val="00896FF1"/>
    <w:rsid w:val="008A2830"/>
    <w:rsid w:val="008B4551"/>
    <w:rsid w:val="008C3E0D"/>
    <w:rsid w:val="008D0A2F"/>
    <w:rsid w:val="008D2437"/>
    <w:rsid w:val="008E6C6A"/>
    <w:rsid w:val="0090126A"/>
    <w:rsid w:val="009026E6"/>
    <w:rsid w:val="009070D7"/>
    <w:rsid w:val="00915B44"/>
    <w:rsid w:val="00917355"/>
    <w:rsid w:val="00917D85"/>
    <w:rsid w:val="00922241"/>
    <w:rsid w:val="00930508"/>
    <w:rsid w:val="00930DA1"/>
    <w:rsid w:val="009362E0"/>
    <w:rsid w:val="00940186"/>
    <w:rsid w:val="009426A8"/>
    <w:rsid w:val="009463CE"/>
    <w:rsid w:val="00951FE4"/>
    <w:rsid w:val="009579DB"/>
    <w:rsid w:val="00960197"/>
    <w:rsid w:val="00963768"/>
    <w:rsid w:val="00965622"/>
    <w:rsid w:val="009807D2"/>
    <w:rsid w:val="00982001"/>
    <w:rsid w:val="00982322"/>
    <w:rsid w:val="00984CC5"/>
    <w:rsid w:val="00987285"/>
    <w:rsid w:val="009947C0"/>
    <w:rsid w:val="009A07BD"/>
    <w:rsid w:val="009A28E1"/>
    <w:rsid w:val="009B2C48"/>
    <w:rsid w:val="009B4B4B"/>
    <w:rsid w:val="009C1E4F"/>
    <w:rsid w:val="009C3D11"/>
    <w:rsid w:val="009C7C4A"/>
    <w:rsid w:val="009D5690"/>
    <w:rsid w:val="009E1491"/>
    <w:rsid w:val="009E1F60"/>
    <w:rsid w:val="009E5D96"/>
    <w:rsid w:val="009F5308"/>
    <w:rsid w:val="00A01C61"/>
    <w:rsid w:val="00A03BCE"/>
    <w:rsid w:val="00A20502"/>
    <w:rsid w:val="00A23A70"/>
    <w:rsid w:val="00A41099"/>
    <w:rsid w:val="00A43DEF"/>
    <w:rsid w:val="00A475E0"/>
    <w:rsid w:val="00A50F3D"/>
    <w:rsid w:val="00A52565"/>
    <w:rsid w:val="00A555A9"/>
    <w:rsid w:val="00A61E64"/>
    <w:rsid w:val="00A9537F"/>
    <w:rsid w:val="00AA6245"/>
    <w:rsid w:val="00AB68B1"/>
    <w:rsid w:val="00AC04B9"/>
    <w:rsid w:val="00AD0320"/>
    <w:rsid w:val="00AE1079"/>
    <w:rsid w:val="00AE6F27"/>
    <w:rsid w:val="00AF397F"/>
    <w:rsid w:val="00AF7B9A"/>
    <w:rsid w:val="00B05F7E"/>
    <w:rsid w:val="00B10C4C"/>
    <w:rsid w:val="00B14D62"/>
    <w:rsid w:val="00B37D44"/>
    <w:rsid w:val="00B40E77"/>
    <w:rsid w:val="00B46B05"/>
    <w:rsid w:val="00B50E97"/>
    <w:rsid w:val="00B51E0E"/>
    <w:rsid w:val="00B522DF"/>
    <w:rsid w:val="00B56DAD"/>
    <w:rsid w:val="00B65784"/>
    <w:rsid w:val="00B6614D"/>
    <w:rsid w:val="00B70872"/>
    <w:rsid w:val="00B77477"/>
    <w:rsid w:val="00B81C59"/>
    <w:rsid w:val="00B81CC9"/>
    <w:rsid w:val="00B82205"/>
    <w:rsid w:val="00B9341A"/>
    <w:rsid w:val="00B93796"/>
    <w:rsid w:val="00B973CD"/>
    <w:rsid w:val="00BA10FA"/>
    <w:rsid w:val="00BA136C"/>
    <w:rsid w:val="00BA1458"/>
    <w:rsid w:val="00BA283B"/>
    <w:rsid w:val="00BA4F65"/>
    <w:rsid w:val="00BA5987"/>
    <w:rsid w:val="00BB3E91"/>
    <w:rsid w:val="00BB5BC6"/>
    <w:rsid w:val="00BB78A8"/>
    <w:rsid w:val="00BF15E8"/>
    <w:rsid w:val="00BF492D"/>
    <w:rsid w:val="00BF4D29"/>
    <w:rsid w:val="00C00127"/>
    <w:rsid w:val="00C056DE"/>
    <w:rsid w:val="00C10CA4"/>
    <w:rsid w:val="00C13AA1"/>
    <w:rsid w:val="00C13E62"/>
    <w:rsid w:val="00C15C90"/>
    <w:rsid w:val="00C20B70"/>
    <w:rsid w:val="00C21E87"/>
    <w:rsid w:val="00C2350B"/>
    <w:rsid w:val="00C31A4D"/>
    <w:rsid w:val="00C3416F"/>
    <w:rsid w:val="00C45459"/>
    <w:rsid w:val="00C47B61"/>
    <w:rsid w:val="00C539CA"/>
    <w:rsid w:val="00C54370"/>
    <w:rsid w:val="00C56C49"/>
    <w:rsid w:val="00C76E9D"/>
    <w:rsid w:val="00C83A91"/>
    <w:rsid w:val="00C86F8E"/>
    <w:rsid w:val="00C9041D"/>
    <w:rsid w:val="00C957EC"/>
    <w:rsid w:val="00CA5312"/>
    <w:rsid w:val="00CB704E"/>
    <w:rsid w:val="00CC4AD3"/>
    <w:rsid w:val="00CC6599"/>
    <w:rsid w:val="00CD0295"/>
    <w:rsid w:val="00CD1BEF"/>
    <w:rsid w:val="00CD1D05"/>
    <w:rsid w:val="00CD5138"/>
    <w:rsid w:val="00CE5635"/>
    <w:rsid w:val="00CE7A1A"/>
    <w:rsid w:val="00CF40F6"/>
    <w:rsid w:val="00D04368"/>
    <w:rsid w:val="00D05A0C"/>
    <w:rsid w:val="00D10D94"/>
    <w:rsid w:val="00D14062"/>
    <w:rsid w:val="00D173D5"/>
    <w:rsid w:val="00D34272"/>
    <w:rsid w:val="00D56448"/>
    <w:rsid w:val="00D605A9"/>
    <w:rsid w:val="00D6239C"/>
    <w:rsid w:val="00D639C1"/>
    <w:rsid w:val="00D64007"/>
    <w:rsid w:val="00D732DC"/>
    <w:rsid w:val="00D84506"/>
    <w:rsid w:val="00D91AF4"/>
    <w:rsid w:val="00D91E6B"/>
    <w:rsid w:val="00DA1ACF"/>
    <w:rsid w:val="00DA5514"/>
    <w:rsid w:val="00DA5D37"/>
    <w:rsid w:val="00DB7505"/>
    <w:rsid w:val="00DB7550"/>
    <w:rsid w:val="00DC3448"/>
    <w:rsid w:val="00DC3CA3"/>
    <w:rsid w:val="00DC7883"/>
    <w:rsid w:val="00DE32D5"/>
    <w:rsid w:val="00DE45EE"/>
    <w:rsid w:val="00DF3A3B"/>
    <w:rsid w:val="00DF48C4"/>
    <w:rsid w:val="00DF6168"/>
    <w:rsid w:val="00E00F51"/>
    <w:rsid w:val="00E165D5"/>
    <w:rsid w:val="00E23602"/>
    <w:rsid w:val="00E25A03"/>
    <w:rsid w:val="00E2700C"/>
    <w:rsid w:val="00E277F9"/>
    <w:rsid w:val="00E33FFF"/>
    <w:rsid w:val="00E36D90"/>
    <w:rsid w:val="00E47FD3"/>
    <w:rsid w:val="00E5449F"/>
    <w:rsid w:val="00E5451F"/>
    <w:rsid w:val="00E6328D"/>
    <w:rsid w:val="00E84A84"/>
    <w:rsid w:val="00E84AB4"/>
    <w:rsid w:val="00E851B3"/>
    <w:rsid w:val="00E93B41"/>
    <w:rsid w:val="00E959AE"/>
    <w:rsid w:val="00E97E51"/>
    <w:rsid w:val="00EA0C14"/>
    <w:rsid w:val="00EA654D"/>
    <w:rsid w:val="00EB2219"/>
    <w:rsid w:val="00EC1B53"/>
    <w:rsid w:val="00EE3C15"/>
    <w:rsid w:val="00EF16F5"/>
    <w:rsid w:val="00EF3B14"/>
    <w:rsid w:val="00F0633E"/>
    <w:rsid w:val="00F11A7B"/>
    <w:rsid w:val="00F13D9B"/>
    <w:rsid w:val="00F1660A"/>
    <w:rsid w:val="00F25B53"/>
    <w:rsid w:val="00F37A7A"/>
    <w:rsid w:val="00F40890"/>
    <w:rsid w:val="00F41BF2"/>
    <w:rsid w:val="00F52782"/>
    <w:rsid w:val="00F549D3"/>
    <w:rsid w:val="00F6584F"/>
    <w:rsid w:val="00F66BC4"/>
    <w:rsid w:val="00F82F41"/>
    <w:rsid w:val="00F92370"/>
    <w:rsid w:val="00FA6FDB"/>
    <w:rsid w:val="00FB0F60"/>
    <w:rsid w:val="00FB1174"/>
    <w:rsid w:val="00FB1D67"/>
    <w:rsid w:val="00FB3DD2"/>
    <w:rsid w:val="00FC0476"/>
    <w:rsid w:val="00FC4F9B"/>
    <w:rsid w:val="00FC6188"/>
    <w:rsid w:val="00FC64EF"/>
    <w:rsid w:val="00FD156A"/>
    <w:rsid w:val="00FD1D3F"/>
    <w:rsid w:val="00FD3019"/>
    <w:rsid w:val="00FD6B0C"/>
    <w:rsid w:val="00FD6FF2"/>
    <w:rsid w:val="00FE0F9C"/>
    <w:rsid w:val="00FE5069"/>
    <w:rsid w:val="00FF1731"/>
    <w:rsid w:val="00FF2D48"/>
    <w:rsid w:val="00FF3C87"/>
    <w:rsid w:val="00FF4AF4"/>
    <w:rsid w:val="00FF559D"/>
    <w:rsid w:val="00FF72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E9C84"/>
  <w15:docId w15:val="{A84E4458-B4B3-45D8-AE65-1D24E813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7B6"/>
  </w:style>
  <w:style w:type="paragraph" w:styleId="Heading1">
    <w:name w:val="heading 1"/>
    <w:basedOn w:val="Normal"/>
    <w:next w:val="Normal"/>
    <w:link w:val="Heading1Char"/>
    <w:uiPriority w:val="9"/>
    <w:qFormat/>
    <w:rsid w:val="000B38C3"/>
    <w:pPr>
      <w:keepNext/>
      <w:keepLines/>
      <w:spacing w:before="480" w:after="0"/>
      <w:outlineLvl w:val="0"/>
    </w:pPr>
    <w:rPr>
      <w:rFonts w:asciiTheme="majorHAnsi" w:eastAsiaTheme="majorEastAsia" w:hAnsiTheme="majorHAnsi" w:cstheme="majorBidi"/>
      <w:b/>
      <w:bCs/>
      <w:color w:val="B43412" w:themeColor="accent1" w:themeShade="BF"/>
      <w:sz w:val="28"/>
      <w:szCs w:val="28"/>
    </w:rPr>
  </w:style>
  <w:style w:type="paragraph" w:styleId="Heading2">
    <w:name w:val="heading 2"/>
    <w:basedOn w:val="Normal"/>
    <w:next w:val="Normal"/>
    <w:link w:val="Heading2Char"/>
    <w:uiPriority w:val="9"/>
    <w:unhideWhenUsed/>
    <w:qFormat/>
    <w:rsid w:val="00041A1E"/>
    <w:pPr>
      <w:keepNext/>
      <w:keepLines/>
      <w:spacing w:before="200" w:after="0"/>
      <w:outlineLvl w:val="1"/>
    </w:pPr>
    <w:rPr>
      <w:rFonts w:asciiTheme="majorHAnsi" w:eastAsiaTheme="majorEastAsia" w:hAnsiTheme="majorHAnsi" w:cstheme="majorBidi"/>
      <w:b/>
      <w:bCs/>
      <w:color w:val="E84C2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C14"/>
    <w:pPr>
      <w:ind w:left="720"/>
      <w:contextualSpacing/>
    </w:pPr>
  </w:style>
  <w:style w:type="character" w:customStyle="1" w:styleId="Heading1Char">
    <w:name w:val="Heading 1 Char"/>
    <w:basedOn w:val="DefaultParagraphFont"/>
    <w:link w:val="Heading1"/>
    <w:uiPriority w:val="9"/>
    <w:rsid w:val="000B38C3"/>
    <w:rPr>
      <w:rFonts w:asciiTheme="majorHAnsi" w:eastAsiaTheme="majorEastAsia" w:hAnsiTheme="majorHAnsi" w:cstheme="majorBidi"/>
      <w:b/>
      <w:bCs/>
      <w:color w:val="B43412" w:themeColor="accent1" w:themeShade="BF"/>
      <w:sz w:val="28"/>
      <w:szCs w:val="28"/>
    </w:rPr>
  </w:style>
  <w:style w:type="character" w:customStyle="1" w:styleId="Heading2Char">
    <w:name w:val="Heading 2 Char"/>
    <w:basedOn w:val="DefaultParagraphFont"/>
    <w:link w:val="Heading2"/>
    <w:uiPriority w:val="9"/>
    <w:rsid w:val="00041A1E"/>
    <w:rPr>
      <w:rFonts w:asciiTheme="majorHAnsi" w:eastAsiaTheme="majorEastAsia" w:hAnsiTheme="majorHAnsi" w:cstheme="majorBidi"/>
      <w:b/>
      <w:bCs/>
      <w:color w:val="E84C22" w:themeColor="accent1"/>
      <w:sz w:val="26"/>
      <w:szCs w:val="26"/>
    </w:rPr>
  </w:style>
  <w:style w:type="paragraph" w:styleId="BalloonText">
    <w:name w:val="Balloon Text"/>
    <w:basedOn w:val="Normal"/>
    <w:link w:val="BalloonTextChar"/>
    <w:uiPriority w:val="99"/>
    <w:semiHidden/>
    <w:unhideWhenUsed/>
    <w:rsid w:val="00673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34"/>
    <w:rPr>
      <w:rFonts w:ascii="Tahoma" w:hAnsi="Tahoma" w:cs="Tahoma"/>
      <w:sz w:val="16"/>
      <w:szCs w:val="16"/>
    </w:rPr>
  </w:style>
  <w:style w:type="table" w:styleId="TableGrid">
    <w:name w:val="Table Grid"/>
    <w:basedOn w:val="TableNormal"/>
    <w:uiPriority w:val="59"/>
    <w:rsid w:val="00960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6019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60197"/>
    <w:pPr>
      <w:spacing w:after="0" w:line="240" w:lineRule="auto"/>
    </w:pPr>
    <w:rPr>
      <w:color w:val="B43412" w:themeColor="accent1" w:themeShade="BF"/>
    </w:rPr>
    <w:tblPr>
      <w:tblStyleRowBandSize w:val="1"/>
      <w:tblStyleColBandSize w:val="1"/>
      <w:tblBorders>
        <w:top w:val="single" w:sz="8" w:space="0" w:color="E84C22" w:themeColor="accent1"/>
        <w:bottom w:val="single" w:sz="8" w:space="0" w:color="E84C22" w:themeColor="accent1"/>
      </w:tblBorders>
    </w:tblPr>
    <w:tblStylePr w:type="firstRow">
      <w:pPr>
        <w:spacing w:before="0" w:after="0" w:line="240" w:lineRule="auto"/>
      </w:pPr>
      <w:rPr>
        <w:b/>
        <w:bCs/>
      </w:rPr>
      <w:tblPr/>
      <w:tcPr>
        <w:tcBorders>
          <w:top w:val="single" w:sz="8" w:space="0" w:color="E84C22" w:themeColor="accent1"/>
          <w:left w:val="nil"/>
          <w:bottom w:val="single" w:sz="8" w:space="0" w:color="E84C22" w:themeColor="accent1"/>
          <w:right w:val="nil"/>
          <w:insideH w:val="nil"/>
          <w:insideV w:val="nil"/>
        </w:tcBorders>
      </w:tcPr>
    </w:tblStylePr>
    <w:tblStylePr w:type="lastRow">
      <w:pPr>
        <w:spacing w:before="0" w:after="0" w:line="240" w:lineRule="auto"/>
      </w:pPr>
      <w:rPr>
        <w:b/>
        <w:bCs/>
      </w:rPr>
      <w:tblPr/>
      <w:tcPr>
        <w:tcBorders>
          <w:top w:val="single" w:sz="8" w:space="0" w:color="E84C22" w:themeColor="accent1"/>
          <w:left w:val="nil"/>
          <w:bottom w:val="single" w:sz="8" w:space="0" w:color="E84C2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8" w:themeFill="accent1" w:themeFillTint="3F"/>
      </w:tcPr>
    </w:tblStylePr>
    <w:tblStylePr w:type="band1Horz">
      <w:tblPr/>
      <w:tcPr>
        <w:tcBorders>
          <w:left w:val="nil"/>
          <w:right w:val="nil"/>
          <w:insideH w:val="nil"/>
          <w:insideV w:val="nil"/>
        </w:tcBorders>
        <w:shd w:val="clear" w:color="auto" w:fill="F9D2C8" w:themeFill="accent1" w:themeFillTint="3F"/>
      </w:tcPr>
    </w:tblStylePr>
  </w:style>
  <w:style w:type="table" w:styleId="LightShading-Accent2">
    <w:name w:val="Light Shading Accent 2"/>
    <w:basedOn w:val="TableNormal"/>
    <w:uiPriority w:val="60"/>
    <w:rsid w:val="00960197"/>
    <w:pPr>
      <w:spacing w:after="0" w:line="240" w:lineRule="auto"/>
    </w:pPr>
    <w:rPr>
      <w:color w:val="F49B00" w:themeColor="accent2" w:themeShade="BF"/>
    </w:rPr>
    <w:tblPr>
      <w:tblStyleRowBandSize w:val="1"/>
      <w:tblStyleColBandSize w:val="1"/>
      <w:tblBorders>
        <w:top w:val="single" w:sz="8" w:space="0" w:color="FFBD47" w:themeColor="accent2"/>
        <w:bottom w:val="single" w:sz="8" w:space="0" w:color="FFBD47" w:themeColor="accent2"/>
      </w:tblBorders>
    </w:tblPr>
    <w:tblStylePr w:type="firstRow">
      <w:pPr>
        <w:spacing w:before="0" w:after="0" w:line="240" w:lineRule="auto"/>
      </w:pPr>
      <w:rPr>
        <w:b/>
        <w:bCs/>
      </w:rPr>
      <w:tblPr/>
      <w:tcPr>
        <w:tcBorders>
          <w:top w:val="single" w:sz="8" w:space="0" w:color="FFBD47" w:themeColor="accent2"/>
          <w:left w:val="nil"/>
          <w:bottom w:val="single" w:sz="8" w:space="0" w:color="FFBD47" w:themeColor="accent2"/>
          <w:right w:val="nil"/>
          <w:insideH w:val="nil"/>
          <w:insideV w:val="nil"/>
        </w:tcBorders>
      </w:tcPr>
    </w:tblStylePr>
    <w:tblStylePr w:type="lastRow">
      <w:pPr>
        <w:spacing w:before="0" w:after="0" w:line="240" w:lineRule="auto"/>
      </w:pPr>
      <w:rPr>
        <w:b/>
        <w:bCs/>
      </w:rPr>
      <w:tblPr/>
      <w:tcPr>
        <w:tcBorders>
          <w:top w:val="single" w:sz="8" w:space="0" w:color="FFBD47" w:themeColor="accent2"/>
          <w:left w:val="nil"/>
          <w:bottom w:val="single" w:sz="8" w:space="0" w:color="FFBD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D1" w:themeFill="accent2" w:themeFillTint="3F"/>
      </w:tcPr>
    </w:tblStylePr>
    <w:tblStylePr w:type="band1Horz">
      <w:tblPr/>
      <w:tcPr>
        <w:tcBorders>
          <w:left w:val="nil"/>
          <w:right w:val="nil"/>
          <w:insideH w:val="nil"/>
          <w:insideV w:val="nil"/>
        </w:tcBorders>
        <w:shd w:val="clear" w:color="auto" w:fill="FFEED1" w:themeFill="accent2" w:themeFillTint="3F"/>
      </w:tcPr>
    </w:tblStylePr>
  </w:style>
  <w:style w:type="table" w:styleId="LightList">
    <w:name w:val="Light List"/>
    <w:basedOn w:val="TableNormal"/>
    <w:uiPriority w:val="61"/>
    <w:rsid w:val="009601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60197"/>
    <w:pPr>
      <w:spacing w:after="0" w:line="240" w:lineRule="auto"/>
    </w:pPr>
    <w:tblPr>
      <w:tblStyleRowBandSize w:val="1"/>
      <w:tblStyleColBandSize w:val="1"/>
      <w:tblBorders>
        <w:top w:val="single" w:sz="8" w:space="0" w:color="E84C22" w:themeColor="accent1"/>
        <w:left w:val="single" w:sz="8" w:space="0" w:color="E84C22" w:themeColor="accent1"/>
        <w:bottom w:val="single" w:sz="8" w:space="0" w:color="E84C22" w:themeColor="accent1"/>
        <w:right w:val="single" w:sz="8" w:space="0" w:color="E84C22" w:themeColor="accent1"/>
      </w:tblBorders>
    </w:tblPr>
    <w:tblStylePr w:type="firstRow">
      <w:pPr>
        <w:spacing w:before="0" w:after="0" w:line="240" w:lineRule="auto"/>
      </w:pPr>
      <w:rPr>
        <w:b/>
        <w:bCs/>
        <w:color w:val="FFFFFF" w:themeColor="background1"/>
      </w:rPr>
      <w:tblPr/>
      <w:tcPr>
        <w:shd w:val="clear" w:color="auto" w:fill="E84C22" w:themeFill="accent1"/>
      </w:tcPr>
    </w:tblStylePr>
    <w:tblStylePr w:type="lastRow">
      <w:pPr>
        <w:spacing w:before="0" w:after="0" w:line="240" w:lineRule="auto"/>
      </w:pPr>
      <w:rPr>
        <w:b/>
        <w:bCs/>
      </w:rPr>
      <w:tblPr/>
      <w:tcPr>
        <w:tcBorders>
          <w:top w:val="double" w:sz="6" w:space="0" w:color="E84C22" w:themeColor="accent1"/>
          <w:left w:val="single" w:sz="8" w:space="0" w:color="E84C22" w:themeColor="accent1"/>
          <w:bottom w:val="single" w:sz="8" w:space="0" w:color="E84C22" w:themeColor="accent1"/>
          <w:right w:val="single" w:sz="8" w:space="0" w:color="E84C22" w:themeColor="accent1"/>
        </w:tcBorders>
      </w:tcPr>
    </w:tblStylePr>
    <w:tblStylePr w:type="firstCol">
      <w:rPr>
        <w:b/>
        <w:bCs/>
      </w:rPr>
    </w:tblStylePr>
    <w:tblStylePr w:type="lastCol">
      <w:rPr>
        <w:b/>
        <w:bCs/>
      </w:rPr>
    </w:tblStylePr>
    <w:tblStylePr w:type="band1Vert">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tcPr>
    </w:tblStylePr>
    <w:tblStylePr w:type="band1Horz">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tcPr>
    </w:tblStylePr>
  </w:style>
  <w:style w:type="table" w:styleId="MediumShading1-Accent1">
    <w:name w:val="Medium Shading 1 Accent 1"/>
    <w:basedOn w:val="TableNormal"/>
    <w:uiPriority w:val="63"/>
    <w:rsid w:val="00267445"/>
    <w:pPr>
      <w:spacing w:after="0" w:line="240" w:lineRule="auto"/>
    </w:pPr>
    <w:tblPr>
      <w:tblStyleRowBandSize w:val="1"/>
      <w:tblStyleColBandSize w:val="1"/>
      <w:tblBorders>
        <w:top w:val="single" w:sz="8"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single" w:sz="8" w:space="0" w:color="ED7859" w:themeColor="accent1" w:themeTint="BF"/>
      </w:tblBorders>
    </w:tblPr>
    <w:tblStylePr w:type="firstRow">
      <w:pPr>
        <w:spacing w:before="0" w:after="0" w:line="240" w:lineRule="auto"/>
      </w:pPr>
      <w:rPr>
        <w:b/>
        <w:bCs/>
        <w:color w:val="FFFFFF" w:themeColor="background1"/>
      </w:rPr>
      <w:tblPr/>
      <w:tcPr>
        <w:tcBorders>
          <w:top w:val="single" w:sz="8"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nil"/>
          <w:insideV w:val="nil"/>
        </w:tcBorders>
        <w:shd w:val="clear" w:color="auto" w:fill="E84C22" w:themeFill="accent1"/>
      </w:tcPr>
    </w:tblStylePr>
    <w:tblStylePr w:type="lastRow">
      <w:pPr>
        <w:spacing w:before="0" w:after="0" w:line="240" w:lineRule="auto"/>
      </w:pPr>
      <w:rPr>
        <w:b/>
        <w:bCs/>
      </w:rPr>
      <w:tblPr/>
      <w:tcPr>
        <w:tcBorders>
          <w:top w:val="double" w:sz="6"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2C8" w:themeFill="accent1" w:themeFillTint="3F"/>
      </w:tcPr>
    </w:tblStylePr>
    <w:tblStylePr w:type="band1Horz">
      <w:tblPr/>
      <w:tcPr>
        <w:tcBorders>
          <w:insideH w:val="nil"/>
          <w:insideV w:val="nil"/>
        </w:tcBorders>
        <w:shd w:val="clear" w:color="auto" w:fill="F9D2C8"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B82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205"/>
  </w:style>
  <w:style w:type="paragraph" w:styleId="Footer">
    <w:name w:val="footer"/>
    <w:basedOn w:val="Normal"/>
    <w:link w:val="FooterChar"/>
    <w:uiPriority w:val="99"/>
    <w:unhideWhenUsed/>
    <w:rsid w:val="00B82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205"/>
  </w:style>
  <w:style w:type="character" w:styleId="CommentReference">
    <w:name w:val="annotation reference"/>
    <w:basedOn w:val="DefaultParagraphFont"/>
    <w:uiPriority w:val="99"/>
    <w:semiHidden/>
    <w:unhideWhenUsed/>
    <w:rsid w:val="008D2437"/>
    <w:rPr>
      <w:sz w:val="16"/>
      <w:szCs w:val="16"/>
    </w:rPr>
  </w:style>
  <w:style w:type="paragraph" w:styleId="CommentText">
    <w:name w:val="annotation text"/>
    <w:basedOn w:val="Normal"/>
    <w:link w:val="CommentTextChar"/>
    <w:uiPriority w:val="99"/>
    <w:semiHidden/>
    <w:unhideWhenUsed/>
    <w:rsid w:val="008D2437"/>
    <w:pPr>
      <w:spacing w:line="240" w:lineRule="auto"/>
    </w:pPr>
    <w:rPr>
      <w:sz w:val="20"/>
      <w:szCs w:val="20"/>
    </w:rPr>
  </w:style>
  <w:style w:type="character" w:customStyle="1" w:styleId="CommentTextChar">
    <w:name w:val="Comment Text Char"/>
    <w:basedOn w:val="DefaultParagraphFont"/>
    <w:link w:val="CommentText"/>
    <w:uiPriority w:val="99"/>
    <w:semiHidden/>
    <w:rsid w:val="008D2437"/>
    <w:rPr>
      <w:sz w:val="20"/>
      <w:szCs w:val="20"/>
    </w:rPr>
  </w:style>
  <w:style w:type="paragraph" w:styleId="CommentSubject">
    <w:name w:val="annotation subject"/>
    <w:basedOn w:val="CommentText"/>
    <w:next w:val="CommentText"/>
    <w:link w:val="CommentSubjectChar"/>
    <w:uiPriority w:val="99"/>
    <w:semiHidden/>
    <w:unhideWhenUsed/>
    <w:rsid w:val="008D2437"/>
    <w:rPr>
      <w:b/>
      <w:bCs/>
    </w:rPr>
  </w:style>
  <w:style w:type="character" w:customStyle="1" w:styleId="CommentSubjectChar">
    <w:name w:val="Comment Subject Char"/>
    <w:basedOn w:val="CommentTextChar"/>
    <w:link w:val="CommentSubject"/>
    <w:uiPriority w:val="99"/>
    <w:semiHidden/>
    <w:rsid w:val="008D2437"/>
    <w:rPr>
      <w:b/>
      <w:bCs/>
      <w:sz w:val="20"/>
      <w:szCs w:val="20"/>
    </w:rPr>
  </w:style>
  <w:style w:type="character" w:styleId="Hyperlink">
    <w:name w:val="Hyperlink"/>
    <w:basedOn w:val="DefaultParagraphFont"/>
    <w:uiPriority w:val="99"/>
    <w:unhideWhenUsed/>
    <w:rsid w:val="00E851B3"/>
    <w:rPr>
      <w:color w:val="CC9900" w:themeColor="hyperlink"/>
      <w:u w:val="single"/>
    </w:rPr>
  </w:style>
  <w:style w:type="paragraph" w:styleId="FootnoteText">
    <w:name w:val="footnote text"/>
    <w:basedOn w:val="Normal"/>
    <w:link w:val="FootnoteTextChar"/>
    <w:uiPriority w:val="99"/>
    <w:semiHidden/>
    <w:unhideWhenUsed/>
    <w:rsid w:val="009026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6E6"/>
    <w:rPr>
      <w:sz w:val="20"/>
      <w:szCs w:val="20"/>
    </w:rPr>
  </w:style>
  <w:style w:type="character" w:styleId="FootnoteReference">
    <w:name w:val="footnote reference"/>
    <w:basedOn w:val="DefaultParagraphFont"/>
    <w:uiPriority w:val="99"/>
    <w:semiHidden/>
    <w:unhideWhenUsed/>
    <w:rsid w:val="009026E6"/>
    <w:rPr>
      <w:vertAlign w:val="superscript"/>
    </w:rPr>
  </w:style>
  <w:style w:type="character" w:styleId="FollowedHyperlink">
    <w:name w:val="FollowedHyperlink"/>
    <w:basedOn w:val="DefaultParagraphFont"/>
    <w:uiPriority w:val="99"/>
    <w:semiHidden/>
    <w:unhideWhenUsed/>
    <w:rsid w:val="009026E6"/>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5316">
      <w:bodyDiv w:val="1"/>
      <w:marLeft w:val="0"/>
      <w:marRight w:val="0"/>
      <w:marTop w:val="0"/>
      <w:marBottom w:val="0"/>
      <w:divBdr>
        <w:top w:val="none" w:sz="0" w:space="0" w:color="auto"/>
        <w:left w:val="none" w:sz="0" w:space="0" w:color="auto"/>
        <w:bottom w:val="none" w:sz="0" w:space="0" w:color="auto"/>
        <w:right w:val="none" w:sz="0" w:space="0" w:color="auto"/>
      </w:divBdr>
    </w:div>
    <w:div w:id="15890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FF6438FFE247FEBE65A199DA65E9C0" version="1.0.0">
  <systemFields>
    <field name="Objective-Id">
      <value order="0">A619129</value>
    </field>
    <field name="Objective-Title">
      <value order="0">Spot checks on Credit Reporter compliance with Access requirements - Public report</value>
    </field>
    <field name="Objective-Description">
      <value order="0"/>
    </field>
    <field name="Objective-CreationStamp">
      <value order="0">2019-03-05T23:42:04Z</value>
    </field>
    <field name="Objective-IsApproved">
      <value order="0">false</value>
    </field>
    <field name="Objective-IsPublished">
      <value order="0">true</value>
    </field>
    <field name="Objective-DatePublished">
      <value order="0">2019-04-30T22:31:38Z</value>
    </field>
    <field name="Objective-ModificationStamp">
      <value order="0">2019-04-30T22:31:38Z</value>
    </field>
    <field name="Objective-Owner">
      <value order="0">Colin Trotter</value>
    </field>
    <field name="Objective-Path">
      <value order="0">OPC Global Folder:File Plan:Codes of practice:Credit Reporting Privacy Code 2004:2018 Mystery shopper compliance exercise:OUTCOMES REPORT</value>
    </field>
    <field name="Objective-Parent">
      <value order="0">OUTCOMES REPORT</value>
    </field>
    <field name="Objective-State">
      <value order="0">Published</value>
    </field>
    <field name="Objective-VersionId">
      <value order="0">vA1008240</value>
    </field>
    <field name="Objective-Version">
      <value order="0">15.0</value>
    </field>
    <field name="Objective-VersionNumber">
      <value order="0">22</value>
    </field>
    <field name="Objective-VersionComment">
      <value order="0"/>
    </field>
    <field name="Objective-FileNumber">
      <value order="0">CP/0076</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01FF6438FFE247FEBE65A199DA65E9C0"/>
  </ds:schemaRefs>
</ds:datastoreItem>
</file>

<file path=customXml/itemProps2.xml><?xml version="1.0" encoding="utf-8"?>
<ds:datastoreItem xmlns:ds="http://schemas.openxmlformats.org/officeDocument/2006/customXml" ds:itemID="{6337AFD7-30AA-4E6A-B7E1-80362D0D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Grover</dc:creator>
  <cp:lastModifiedBy>Feilidh Dwyer</cp:lastModifiedBy>
  <cp:revision>2</cp:revision>
  <cp:lastPrinted>2019-05-13T21:43:00Z</cp:lastPrinted>
  <dcterms:created xsi:type="dcterms:W3CDTF">2019-05-13T21:52:00Z</dcterms:created>
  <dcterms:modified xsi:type="dcterms:W3CDTF">2019-05-13T21:52:00Z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A619129</vt:lpwstr>
  </property>
  <property fmtid="{D5CDD505-2E9C-101B-9397-08002B2CF9AE}" pid="4" name="Objective-Title">
    <vt:lpwstr>Spot checks on Credit Reporter compliance with Access requirements - Public report</vt:lpwstr>
  </property>
  <property fmtid="{D5CDD505-2E9C-101B-9397-08002B2CF9AE}" pid="5" name="Objective-Comment">
    <vt:lpwstr/>
  </property>
  <property fmtid="{D5CDD505-2E9C-101B-9397-08002B2CF9AE}" pid="6" name="Objective-CreationStamp">
    <vt:filetime>2019-03-06T03:55:23Z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2019-04-30T22:31:38Z</vt:filetime>
  </property>
  <property fmtid="{D5CDD505-2E9C-101B-9397-08002B2CF9AE}" pid="10" name="Objective-ModificationStamp">
    <vt:filetime>2019-04-30T22:31:38Z</vt:filetime>
  </property>
  <property fmtid="{D5CDD505-2E9C-101B-9397-08002B2CF9AE}" pid="11" name="Objective-Owner">
    <vt:lpwstr>Colin Trotter</vt:lpwstr>
  </property>
  <property fmtid="{D5CDD505-2E9C-101B-9397-08002B2CF9AE}" pid="12" name="Objective-Path">
    <vt:lpwstr>OPC Global Folder:File Plan:Codes of practice:Credit Reporting Privacy Code 2004:2018 Mystery shopper compliance exercise:OUTCOMES REPORT:</vt:lpwstr>
  </property>
  <property fmtid="{D5CDD505-2E9C-101B-9397-08002B2CF9AE}" pid="13" name="Objective-Parent">
    <vt:lpwstr>OUTCOMES REPORT</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22</vt:r8>
  </property>
  <property fmtid="{D5CDD505-2E9C-101B-9397-08002B2CF9AE}" pid="17" name="Objective-VersionComment">
    <vt:lpwstr/>
  </property>
  <property fmtid="{D5CDD505-2E9C-101B-9397-08002B2CF9AE}" pid="18" name="Objective-FileNumber">
    <vt:lpwstr>CP/0076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vA1008240</vt:lpwstr>
  </property>
</Properties>
</file>