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F9" w:rsidRPr="004F69C5" w:rsidRDefault="00461453" w:rsidP="00141DF9">
      <w:pPr>
        <w:keepNext/>
        <w:keepLines/>
        <w:shd w:val="clear" w:color="auto" w:fill="4BACC6" w:themeFill="accent5"/>
        <w:spacing w:before="480" w:after="0"/>
        <w:jc w:val="center"/>
        <w:outlineLvl w:val="0"/>
        <w:rPr>
          <w:rFonts w:asciiTheme="minorHAnsi" w:eastAsiaTheme="majorEastAsia" w:hAnsiTheme="minorHAnsi" w:cstheme="majorBidi"/>
          <w:b/>
          <w:bCs/>
          <w:color w:val="FFFFFF" w:themeColor="background1"/>
          <w:sz w:val="28"/>
          <w:szCs w:val="28"/>
        </w:rPr>
      </w:pPr>
      <w:r>
        <w:rPr>
          <w:rFonts w:asciiTheme="minorHAnsi" w:eastAsiaTheme="majorEastAsia" w:hAnsiTheme="minorHAnsi" w:cstheme="majorBidi"/>
          <w:b/>
          <w:bCs/>
          <w:color w:val="FFFFFF" w:themeColor="background1"/>
          <w:sz w:val="28"/>
          <w:szCs w:val="28"/>
        </w:rPr>
        <w:t>Where to from here</w:t>
      </w:r>
      <w:r w:rsidR="00141DF9">
        <w:rPr>
          <w:rFonts w:asciiTheme="minorHAnsi" w:eastAsiaTheme="majorEastAsia" w:hAnsiTheme="minorHAnsi" w:cstheme="majorBidi"/>
          <w:b/>
          <w:bCs/>
          <w:color w:val="FFFFFF" w:themeColor="background1"/>
          <w:sz w:val="28"/>
          <w:szCs w:val="28"/>
        </w:rPr>
        <w:t xml:space="preserve"> with the </w:t>
      </w:r>
      <w:r>
        <w:rPr>
          <w:rFonts w:asciiTheme="minorHAnsi" w:eastAsiaTheme="majorEastAsia" w:hAnsiTheme="minorHAnsi" w:cstheme="majorBidi"/>
          <w:b/>
          <w:bCs/>
          <w:color w:val="FFFFFF" w:themeColor="background1"/>
          <w:sz w:val="28"/>
          <w:szCs w:val="28"/>
        </w:rPr>
        <w:t>R</w:t>
      </w:r>
      <w:r w:rsidR="00141DF9">
        <w:rPr>
          <w:rFonts w:asciiTheme="minorHAnsi" w:eastAsiaTheme="majorEastAsia" w:hAnsiTheme="minorHAnsi" w:cstheme="majorBidi"/>
          <w:b/>
          <w:bCs/>
          <w:color w:val="FFFFFF" w:themeColor="background1"/>
          <w:sz w:val="28"/>
          <w:szCs w:val="28"/>
        </w:rPr>
        <w:t>eview recommendations?</w:t>
      </w:r>
    </w:p>
    <w:p w:rsidR="00141DF9" w:rsidRDefault="00141DF9" w:rsidP="00141DF9">
      <w:pPr>
        <w:rPr>
          <w:rFonts w:asciiTheme="minorHAnsi" w:hAnsiTheme="minorHAnsi"/>
          <w:b/>
        </w:rPr>
      </w:pPr>
    </w:p>
    <w:p w:rsidR="007C122A" w:rsidRDefault="001A3091" w:rsidP="00141DF9">
      <w:pPr>
        <w:rPr>
          <w:rFonts w:asciiTheme="minorHAnsi" w:hAnsiTheme="minorHAnsi"/>
        </w:rPr>
      </w:pPr>
      <w:r>
        <w:rPr>
          <w:rFonts w:asciiTheme="minorHAnsi" w:hAnsiTheme="minorHAnsi"/>
        </w:rPr>
        <w:t xml:space="preserve">The review of Amendments No 4 and No 5 of the Credit Reporting Privacy Code resulted in 13 recommendations. </w:t>
      </w:r>
      <w:r w:rsidR="00066886">
        <w:rPr>
          <w:rFonts w:asciiTheme="minorHAnsi" w:hAnsiTheme="minorHAnsi"/>
        </w:rPr>
        <w:t>Some</w:t>
      </w:r>
      <w:r w:rsidR="007C122A" w:rsidRPr="00D53A20">
        <w:rPr>
          <w:rFonts w:asciiTheme="minorHAnsi" w:hAnsiTheme="minorHAnsi"/>
        </w:rPr>
        <w:t xml:space="preserve"> recommendations </w:t>
      </w:r>
      <w:r>
        <w:rPr>
          <w:rFonts w:asciiTheme="minorHAnsi" w:hAnsiTheme="minorHAnsi"/>
        </w:rPr>
        <w:t>were</w:t>
      </w:r>
      <w:r w:rsidR="007C122A" w:rsidRPr="00D53A20">
        <w:rPr>
          <w:rFonts w:asciiTheme="minorHAnsi" w:hAnsiTheme="minorHAnsi"/>
        </w:rPr>
        <w:t xml:space="preserve"> delib</w:t>
      </w:r>
      <w:r w:rsidR="007C122A">
        <w:rPr>
          <w:rFonts w:asciiTheme="minorHAnsi" w:hAnsiTheme="minorHAnsi"/>
        </w:rPr>
        <w:t>erately written in an open-</w:t>
      </w:r>
      <w:r w:rsidR="007C122A" w:rsidRPr="00D53A20">
        <w:rPr>
          <w:rFonts w:asciiTheme="minorHAnsi" w:hAnsiTheme="minorHAnsi"/>
        </w:rPr>
        <w:t>ended way to allow for implementation by</w:t>
      </w:r>
      <w:r w:rsidR="006F5038">
        <w:rPr>
          <w:rFonts w:asciiTheme="minorHAnsi" w:hAnsiTheme="minorHAnsi"/>
        </w:rPr>
        <w:t xml:space="preserve"> </w:t>
      </w:r>
      <w:r w:rsidR="007C122A" w:rsidRPr="00D53A20">
        <w:rPr>
          <w:rFonts w:asciiTheme="minorHAnsi" w:hAnsiTheme="minorHAnsi"/>
        </w:rPr>
        <w:t xml:space="preserve">industry action </w:t>
      </w:r>
      <w:r>
        <w:rPr>
          <w:rFonts w:asciiTheme="minorHAnsi" w:hAnsiTheme="minorHAnsi"/>
        </w:rPr>
        <w:t xml:space="preserve">with </w:t>
      </w:r>
      <w:r w:rsidR="007C122A" w:rsidRPr="00D53A20">
        <w:rPr>
          <w:rFonts w:asciiTheme="minorHAnsi" w:hAnsiTheme="minorHAnsi"/>
        </w:rPr>
        <w:t xml:space="preserve">amendment to the </w:t>
      </w:r>
      <w:r w:rsidR="007C122A">
        <w:rPr>
          <w:rFonts w:asciiTheme="minorHAnsi" w:hAnsiTheme="minorHAnsi"/>
        </w:rPr>
        <w:t>C</w:t>
      </w:r>
      <w:r w:rsidR="007C122A" w:rsidRPr="00D53A20">
        <w:rPr>
          <w:rFonts w:asciiTheme="minorHAnsi" w:hAnsiTheme="minorHAnsi"/>
        </w:rPr>
        <w:t xml:space="preserve">ode </w:t>
      </w:r>
      <w:r w:rsidR="006F5038">
        <w:rPr>
          <w:rFonts w:asciiTheme="minorHAnsi" w:hAnsiTheme="minorHAnsi"/>
        </w:rPr>
        <w:t>held in reserve</w:t>
      </w:r>
      <w:r w:rsidR="007C122A" w:rsidRPr="00D53A20">
        <w:rPr>
          <w:rFonts w:asciiTheme="minorHAnsi" w:hAnsiTheme="minorHAnsi"/>
        </w:rPr>
        <w:t xml:space="preserve">. The Office will engage with appropriate stakeholders </w:t>
      </w:r>
      <w:r w:rsidR="00066886">
        <w:rPr>
          <w:rFonts w:asciiTheme="minorHAnsi" w:hAnsiTheme="minorHAnsi"/>
        </w:rPr>
        <w:t>o</w:t>
      </w:r>
      <w:r w:rsidR="007C122A" w:rsidRPr="00D53A20">
        <w:rPr>
          <w:rFonts w:asciiTheme="minorHAnsi" w:hAnsiTheme="minorHAnsi"/>
        </w:rPr>
        <w:t xml:space="preserve"> identify the most promising </w:t>
      </w:r>
      <w:r w:rsidR="00066886">
        <w:rPr>
          <w:rFonts w:asciiTheme="minorHAnsi" w:hAnsiTheme="minorHAnsi"/>
        </w:rPr>
        <w:t>steps to take</w:t>
      </w:r>
      <w:r w:rsidR="006F5038">
        <w:rPr>
          <w:rFonts w:asciiTheme="minorHAnsi" w:hAnsiTheme="minorHAnsi"/>
        </w:rPr>
        <w:t xml:space="preserve">. </w:t>
      </w:r>
      <w:r w:rsidR="007C122A">
        <w:rPr>
          <w:rFonts w:asciiTheme="minorHAnsi" w:hAnsiTheme="minorHAnsi"/>
        </w:rPr>
        <w:t xml:space="preserve"> Some recommendations </w:t>
      </w:r>
      <w:r w:rsidR="00066886">
        <w:rPr>
          <w:rFonts w:asciiTheme="minorHAnsi" w:hAnsiTheme="minorHAnsi"/>
        </w:rPr>
        <w:t>simply</w:t>
      </w:r>
      <w:r w:rsidR="007C122A">
        <w:rPr>
          <w:rFonts w:asciiTheme="minorHAnsi" w:hAnsiTheme="minorHAnsi"/>
        </w:rPr>
        <w:t xml:space="preserve"> anticipate </w:t>
      </w:r>
      <w:r w:rsidR="00066886">
        <w:rPr>
          <w:rFonts w:asciiTheme="minorHAnsi" w:hAnsiTheme="minorHAnsi"/>
        </w:rPr>
        <w:t>Code</w:t>
      </w:r>
      <w:r w:rsidR="007C122A">
        <w:rPr>
          <w:rFonts w:asciiTheme="minorHAnsi" w:hAnsiTheme="minorHAnsi"/>
        </w:rPr>
        <w:t xml:space="preserve"> amendment and in such cases the Office may proceed to draft the amendment and postpone stakeholder engagement until </w:t>
      </w:r>
      <w:r w:rsidR="00066886">
        <w:rPr>
          <w:rFonts w:asciiTheme="minorHAnsi" w:hAnsiTheme="minorHAnsi"/>
        </w:rPr>
        <w:t>the later formal stages</w:t>
      </w:r>
      <w:r w:rsidR="007C122A">
        <w:rPr>
          <w:rFonts w:asciiTheme="minorHAnsi" w:hAnsiTheme="minorHAnsi"/>
        </w:rPr>
        <w:t>.</w:t>
      </w:r>
      <w:r w:rsidR="006A3253">
        <w:rPr>
          <w:rFonts w:asciiTheme="minorHAnsi" w:hAnsiTheme="minorHAnsi"/>
        </w:rPr>
        <w:t xml:space="preserve"> The following material gives a general indication of how the Office plans to proceed.</w:t>
      </w:r>
      <w:r w:rsidR="007C122A">
        <w:rPr>
          <w:rFonts w:asciiTheme="minorHAnsi" w:hAnsiTheme="minorHAnsi"/>
        </w:rPr>
        <w:t xml:space="preserve"> </w:t>
      </w:r>
    </w:p>
    <w:p w:rsidR="001A3091" w:rsidRDefault="00066886" w:rsidP="00141DF9">
      <w:pPr>
        <w:rPr>
          <w:rFonts w:asciiTheme="minorHAnsi" w:hAnsiTheme="minorHAnsi"/>
          <w:b/>
        </w:rPr>
      </w:pPr>
      <w:r>
        <w:rPr>
          <w:rFonts w:asciiTheme="minorHAnsi" w:hAnsiTheme="minorHAnsi"/>
        </w:rPr>
        <w:t>T</w:t>
      </w:r>
      <w:r w:rsidR="001A3091">
        <w:rPr>
          <w:rFonts w:asciiTheme="minorHAnsi" w:hAnsiTheme="minorHAnsi"/>
        </w:rPr>
        <w:t>he Office will also engage with the industry</w:t>
      </w:r>
      <w:r w:rsidR="001A3091" w:rsidRPr="001A3091">
        <w:rPr>
          <w:rFonts w:asciiTheme="minorHAnsi" w:hAnsiTheme="minorHAnsi"/>
        </w:rPr>
        <w:t xml:space="preserve"> </w:t>
      </w:r>
      <w:r w:rsidR="001A3091">
        <w:rPr>
          <w:rFonts w:asciiTheme="minorHAnsi" w:hAnsiTheme="minorHAnsi"/>
        </w:rPr>
        <w:t>in relation to</w:t>
      </w:r>
      <w:r w:rsidR="001A3091" w:rsidRPr="001A3091">
        <w:rPr>
          <w:rFonts w:asciiTheme="minorHAnsi" w:hAnsiTheme="minorHAnsi"/>
        </w:rPr>
        <w:t xml:space="preserve"> to selected findings recorded in the report</w:t>
      </w:r>
      <w:r w:rsidR="00461453">
        <w:rPr>
          <w:rFonts w:asciiTheme="minorHAnsi" w:hAnsiTheme="minorHAnsi"/>
        </w:rPr>
        <w:t xml:space="preserve"> (see below)</w:t>
      </w:r>
      <w:r w:rsidR="001A3091">
        <w:rPr>
          <w:rFonts w:asciiTheme="minorHAnsi" w:hAnsiTheme="minorHAnsi"/>
        </w:rPr>
        <w:t>. That might occasionally result in the identification of useful amendments to the Code</w:t>
      </w:r>
      <w:r w:rsidR="001A3091" w:rsidRPr="001A3091">
        <w:rPr>
          <w:rFonts w:asciiTheme="minorHAnsi" w:hAnsiTheme="minorHAnsi"/>
        </w:rPr>
        <w:t>.</w:t>
      </w:r>
      <w:r w:rsidR="001A3091">
        <w:rPr>
          <w:rFonts w:asciiTheme="minorHAnsi" w:hAnsiTheme="minorHAnsi"/>
        </w:rPr>
        <w:t xml:space="preserve"> </w:t>
      </w:r>
      <w:r w:rsidR="00461453">
        <w:rPr>
          <w:rFonts w:asciiTheme="minorHAnsi" w:hAnsiTheme="minorHAnsi"/>
        </w:rPr>
        <w:t>A</w:t>
      </w:r>
      <w:r w:rsidR="001A3091">
        <w:rPr>
          <w:rFonts w:asciiTheme="minorHAnsi" w:hAnsiTheme="minorHAnsi"/>
        </w:rPr>
        <w:t xml:space="preserve"> supplementary report is in preparation on certain miscellaneous issues that were raised in a 2016 discussion paper. </w:t>
      </w:r>
      <w:r w:rsidR="006F5038">
        <w:rPr>
          <w:rFonts w:asciiTheme="minorHAnsi" w:hAnsiTheme="minorHAnsi"/>
        </w:rPr>
        <w:t xml:space="preserve">When </w:t>
      </w:r>
      <w:r w:rsidR="00461453">
        <w:rPr>
          <w:rFonts w:asciiTheme="minorHAnsi" w:hAnsiTheme="minorHAnsi"/>
        </w:rPr>
        <w:t xml:space="preserve">that report is </w:t>
      </w:r>
      <w:r w:rsidR="006F5038">
        <w:rPr>
          <w:rFonts w:asciiTheme="minorHAnsi" w:hAnsiTheme="minorHAnsi"/>
        </w:rPr>
        <w:t>available</w:t>
      </w:r>
      <w:r w:rsidR="001A3091">
        <w:rPr>
          <w:rFonts w:asciiTheme="minorHAnsi" w:hAnsiTheme="minorHAnsi"/>
        </w:rPr>
        <w:t xml:space="preserve">, any findings or recommendations arising from that report may be explored with stakeholders </w:t>
      </w:r>
      <w:r w:rsidR="006F5038">
        <w:rPr>
          <w:rFonts w:asciiTheme="minorHAnsi" w:hAnsiTheme="minorHAnsi"/>
        </w:rPr>
        <w:t>in conjunction with the steps mentioned below.</w:t>
      </w:r>
      <w:r w:rsidR="001A3091">
        <w:rPr>
          <w:rFonts w:asciiTheme="minorHAnsi" w:hAnsiTheme="minorHAnsi"/>
        </w:rPr>
        <w:t xml:space="preserve"> </w:t>
      </w:r>
    </w:p>
    <w:tbl>
      <w:tblPr>
        <w:tblStyle w:val="TableGrid"/>
        <w:tblW w:w="0" w:type="auto"/>
        <w:tblLook w:val="04A0" w:firstRow="1" w:lastRow="0" w:firstColumn="1" w:lastColumn="0" w:noHBand="0" w:noVBand="1"/>
      </w:tblPr>
      <w:tblGrid>
        <w:gridCol w:w="4219"/>
        <w:gridCol w:w="5023"/>
      </w:tblGrid>
      <w:tr w:rsidR="00141DF9" w:rsidTr="00C57553">
        <w:tc>
          <w:tcPr>
            <w:tcW w:w="4219" w:type="dxa"/>
            <w:shd w:val="clear" w:color="auto" w:fill="4BACC6" w:themeFill="accent5"/>
          </w:tcPr>
          <w:p w:rsidR="00141DF9" w:rsidRDefault="00141DF9" w:rsidP="006A3253">
            <w:pPr>
              <w:rPr>
                <w:rFonts w:asciiTheme="minorHAnsi" w:hAnsiTheme="minorHAnsi"/>
                <w:b/>
              </w:rPr>
            </w:pPr>
            <w:r>
              <w:rPr>
                <w:rFonts w:asciiTheme="minorHAnsi" w:hAnsiTheme="minorHAnsi"/>
                <w:b/>
              </w:rPr>
              <w:t>Recommendation</w:t>
            </w:r>
          </w:p>
        </w:tc>
        <w:tc>
          <w:tcPr>
            <w:tcW w:w="5023" w:type="dxa"/>
            <w:shd w:val="clear" w:color="auto" w:fill="4BACC6" w:themeFill="accent5"/>
          </w:tcPr>
          <w:p w:rsidR="00141DF9" w:rsidRDefault="00141DF9" w:rsidP="00141DF9">
            <w:pPr>
              <w:rPr>
                <w:rFonts w:asciiTheme="minorHAnsi" w:hAnsiTheme="minorHAnsi"/>
                <w:b/>
              </w:rPr>
            </w:pPr>
            <w:r>
              <w:rPr>
                <w:rFonts w:asciiTheme="minorHAnsi" w:hAnsiTheme="minorHAnsi"/>
                <w:b/>
              </w:rPr>
              <w:t>Further steps</w:t>
            </w:r>
          </w:p>
        </w:tc>
      </w:tr>
      <w:tr w:rsidR="00141DF9" w:rsidRPr="00141DF9" w:rsidTr="008100D4">
        <w:tc>
          <w:tcPr>
            <w:tcW w:w="4219" w:type="dxa"/>
          </w:tcPr>
          <w:p w:rsidR="00141DF9" w:rsidRPr="008100D4" w:rsidRDefault="00141DF9" w:rsidP="00AD753F">
            <w:pPr>
              <w:pStyle w:val="ListParagraph"/>
              <w:numPr>
                <w:ilvl w:val="0"/>
                <w:numId w:val="1"/>
              </w:numPr>
              <w:rPr>
                <w:rFonts w:asciiTheme="minorHAnsi" w:hAnsiTheme="minorHAnsi"/>
                <w:sz w:val="20"/>
                <w:szCs w:val="20"/>
              </w:rPr>
            </w:pPr>
            <w:r w:rsidRPr="008100D4">
              <w:rPr>
                <w:rFonts w:asciiTheme="minorHAnsi" w:hAnsiTheme="minorHAnsi"/>
                <w:sz w:val="20"/>
                <w:szCs w:val="20"/>
              </w:rPr>
              <w:t>To avoid disrupting the completion of the roll out of CCR to the remainder of the credit sector, a cautious approach should be taken in the short term towards proposals for changes to the fundamentals of CCR in so far as those changes might affect credit provider systems.</w:t>
            </w:r>
          </w:p>
        </w:tc>
        <w:tc>
          <w:tcPr>
            <w:tcW w:w="5023" w:type="dxa"/>
          </w:tcPr>
          <w:p w:rsidR="00141DF9" w:rsidRPr="008100D4" w:rsidRDefault="00141DF9" w:rsidP="00066886">
            <w:pPr>
              <w:rPr>
                <w:rFonts w:asciiTheme="minorHAnsi" w:hAnsiTheme="minorHAnsi"/>
                <w:sz w:val="20"/>
                <w:szCs w:val="20"/>
              </w:rPr>
            </w:pPr>
            <w:r w:rsidRPr="008100D4">
              <w:rPr>
                <w:rFonts w:asciiTheme="minorHAnsi" w:hAnsiTheme="minorHAnsi"/>
                <w:sz w:val="20"/>
                <w:szCs w:val="20"/>
              </w:rPr>
              <w:t xml:space="preserve">This signals that a cautious approach to </w:t>
            </w:r>
            <w:r w:rsidR="008100D4">
              <w:rPr>
                <w:rFonts w:asciiTheme="minorHAnsi" w:hAnsiTheme="minorHAnsi"/>
                <w:sz w:val="20"/>
                <w:szCs w:val="20"/>
              </w:rPr>
              <w:t xml:space="preserve">any </w:t>
            </w:r>
            <w:r w:rsidRPr="008100D4">
              <w:rPr>
                <w:rFonts w:asciiTheme="minorHAnsi" w:hAnsiTheme="minorHAnsi"/>
                <w:sz w:val="20"/>
                <w:szCs w:val="20"/>
              </w:rPr>
              <w:t xml:space="preserve">proposals to change the fundamentals of CCR pending </w:t>
            </w:r>
            <w:r w:rsidR="00066886">
              <w:rPr>
                <w:rFonts w:asciiTheme="minorHAnsi" w:hAnsiTheme="minorHAnsi"/>
                <w:sz w:val="20"/>
                <w:szCs w:val="20"/>
              </w:rPr>
              <w:t>CCR</w:t>
            </w:r>
            <w:r w:rsidR="00643A8F" w:rsidRPr="008100D4">
              <w:rPr>
                <w:rFonts w:asciiTheme="minorHAnsi" w:hAnsiTheme="minorHAnsi"/>
                <w:sz w:val="20"/>
                <w:szCs w:val="20"/>
              </w:rPr>
              <w:t xml:space="preserve"> reach</w:t>
            </w:r>
            <w:r w:rsidRPr="008100D4">
              <w:rPr>
                <w:rFonts w:asciiTheme="minorHAnsi" w:hAnsiTheme="minorHAnsi"/>
                <w:sz w:val="20"/>
                <w:szCs w:val="20"/>
              </w:rPr>
              <w:t xml:space="preserve">ing maturity on its current basis. This principally </w:t>
            </w:r>
            <w:r w:rsidR="008100D4">
              <w:rPr>
                <w:rFonts w:asciiTheme="minorHAnsi" w:hAnsiTheme="minorHAnsi"/>
                <w:sz w:val="20"/>
                <w:szCs w:val="20"/>
              </w:rPr>
              <w:t>affects</w:t>
            </w:r>
            <w:r w:rsidRPr="008100D4">
              <w:rPr>
                <w:rFonts w:asciiTheme="minorHAnsi" w:hAnsiTheme="minorHAnsi"/>
                <w:sz w:val="20"/>
                <w:szCs w:val="20"/>
              </w:rPr>
              <w:t xml:space="preserve"> calls by some in the industry to add account balance information to CCR. A supplementary report will deal with the substance of that </w:t>
            </w:r>
            <w:r w:rsidR="00066886">
              <w:rPr>
                <w:rFonts w:asciiTheme="minorHAnsi" w:hAnsiTheme="minorHAnsi"/>
                <w:sz w:val="20"/>
                <w:szCs w:val="20"/>
              </w:rPr>
              <w:t>suggestion</w:t>
            </w:r>
            <w:r w:rsidRPr="008100D4">
              <w:rPr>
                <w:rFonts w:asciiTheme="minorHAnsi" w:hAnsiTheme="minorHAnsi"/>
                <w:sz w:val="20"/>
                <w:szCs w:val="20"/>
              </w:rPr>
              <w:t xml:space="preserve"> but this recommendation is related to timing.  </w:t>
            </w:r>
            <w:r w:rsidR="008100D4">
              <w:rPr>
                <w:rFonts w:asciiTheme="minorHAnsi" w:hAnsiTheme="minorHAnsi"/>
                <w:sz w:val="20"/>
                <w:szCs w:val="20"/>
              </w:rPr>
              <w:t>(See also recommendation 3</w:t>
            </w:r>
            <w:r w:rsidR="00066886">
              <w:rPr>
                <w:rFonts w:asciiTheme="minorHAnsi" w:hAnsiTheme="minorHAnsi"/>
                <w:sz w:val="20"/>
                <w:szCs w:val="20"/>
              </w:rPr>
              <w:t>.</w:t>
            </w:r>
            <w:r w:rsidR="008100D4">
              <w:rPr>
                <w:rFonts w:asciiTheme="minorHAnsi" w:hAnsiTheme="minorHAnsi"/>
                <w:sz w:val="20"/>
                <w:szCs w:val="20"/>
              </w:rPr>
              <w:t>)</w:t>
            </w:r>
          </w:p>
        </w:tc>
      </w:tr>
      <w:tr w:rsidR="00141DF9" w:rsidRPr="00141DF9" w:rsidTr="008100D4">
        <w:tc>
          <w:tcPr>
            <w:tcW w:w="4219" w:type="dxa"/>
          </w:tcPr>
          <w:p w:rsidR="00141DF9" w:rsidRPr="008100D4" w:rsidRDefault="00141DF9" w:rsidP="00AD753F">
            <w:pPr>
              <w:pStyle w:val="ListParagraph"/>
              <w:numPr>
                <w:ilvl w:val="0"/>
                <w:numId w:val="1"/>
              </w:numPr>
              <w:rPr>
                <w:rFonts w:asciiTheme="minorHAnsi" w:hAnsiTheme="minorHAnsi"/>
                <w:sz w:val="20"/>
                <w:szCs w:val="20"/>
              </w:rPr>
            </w:pPr>
            <w:r w:rsidRPr="008100D4">
              <w:rPr>
                <w:rFonts w:asciiTheme="minorHAnsi" w:hAnsiTheme="minorHAnsi"/>
                <w:sz w:val="20"/>
                <w:szCs w:val="20"/>
              </w:rPr>
              <w:t xml:space="preserve">The industry should </w:t>
            </w:r>
            <w:r w:rsidR="008100D4">
              <w:rPr>
                <w:rFonts w:asciiTheme="minorHAnsi" w:hAnsiTheme="minorHAnsi"/>
                <w:sz w:val="20"/>
                <w:szCs w:val="20"/>
              </w:rPr>
              <w:t>consider creating a public data</w:t>
            </w:r>
            <w:r w:rsidRPr="008100D4">
              <w:rPr>
                <w:rFonts w:asciiTheme="minorHAnsi" w:hAnsiTheme="minorHAnsi"/>
                <w:sz w:val="20"/>
                <w:szCs w:val="20"/>
              </w:rPr>
              <w:t>base of CCR participation and related metrics, perhaps using the ARCA Credit Data Fact Base as a model, to continue at least until CCR maturity.</w:t>
            </w:r>
          </w:p>
        </w:tc>
        <w:tc>
          <w:tcPr>
            <w:tcW w:w="5023" w:type="dxa"/>
          </w:tcPr>
          <w:p w:rsidR="00141DF9" w:rsidRPr="008100D4" w:rsidRDefault="00643A8F" w:rsidP="00066886">
            <w:pPr>
              <w:rPr>
                <w:rFonts w:asciiTheme="minorHAnsi" w:hAnsiTheme="minorHAnsi"/>
                <w:sz w:val="20"/>
                <w:szCs w:val="20"/>
              </w:rPr>
            </w:pPr>
            <w:r w:rsidRPr="008100D4">
              <w:rPr>
                <w:rFonts w:asciiTheme="minorHAnsi" w:hAnsiTheme="minorHAnsi"/>
                <w:sz w:val="20"/>
                <w:szCs w:val="20"/>
              </w:rPr>
              <w:t xml:space="preserve">The Office will explore with industry the benefits and feasibility of the industry creating a useful public database of participation rates and related metrics as has recently been </w:t>
            </w:r>
            <w:r w:rsidR="00066886">
              <w:rPr>
                <w:rFonts w:asciiTheme="minorHAnsi" w:hAnsiTheme="minorHAnsi"/>
                <w:sz w:val="20"/>
                <w:szCs w:val="20"/>
              </w:rPr>
              <w:t>done</w:t>
            </w:r>
            <w:r w:rsidRPr="008100D4">
              <w:rPr>
                <w:rFonts w:asciiTheme="minorHAnsi" w:hAnsiTheme="minorHAnsi"/>
                <w:sz w:val="20"/>
                <w:szCs w:val="20"/>
              </w:rPr>
              <w:t xml:space="preserve"> in Australia. If an industry resource does not prove feasible the Office may look to Code changes, or the use of the assurance reporting process, to generate </w:t>
            </w:r>
            <w:r w:rsidR="008100D4">
              <w:rPr>
                <w:rFonts w:asciiTheme="minorHAnsi" w:hAnsiTheme="minorHAnsi"/>
                <w:sz w:val="20"/>
                <w:szCs w:val="20"/>
              </w:rPr>
              <w:t xml:space="preserve">reliable </w:t>
            </w:r>
            <w:r w:rsidR="00066886">
              <w:rPr>
                <w:rFonts w:asciiTheme="minorHAnsi" w:hAnsiTheme="minorHAnsi"/>
                <w:sz w:val="20"/>
                <w:szCs w:val="20"/>
              </w:rPr>
              <w:t xml:space="preserve">public </w:t>
            </w:r>
            <w:r w:rsidRPr="008100D4">
              <w:rPr>
                <w:rFonts w:asciiTheme="minorHAnsi" w:hAnsiTheme="minorHAnsi"/>
                <w:sz w:val="20"/>
                <w:szCs w:val="20"/>
              </w:rPr>
              <w:t xml:space="preserve">information </w:t>
            </w:r>
            <w:r w:rsidR="008100D4">
              <w:rPr>
                <w:rFonts w:asciiTheme="minorHAnsi" w:hAnsiTheme="minorHAnsi"/>
                <w:sz w:val="20"/>
                <w:szCs w:val="20"/>
              </w:rPr>
              <w:t>on participation rates, etc</w:t>
            </w:r>
            <w:r w:rsidRPr="008100D4">
              <w:rPr>
                <w:rFonts w:asciiTheme="minorHAnsi" w:hAnsiTheme="minorHAnsi"/>
                <w:sz w:val="20"/>
                <w:szCs w:val="20"/>
              </w:rPr>
              <w:t xml:space="preserve">.   </w:t>
            </w:r>
          </w:p>
        </w:tc>
      </w:tr>
      <w:tr w:rsidR="00141DF9" w:rsidRPr="00141DF9" w:rsidTr="008100D4">
        <w:tc>
          <w:tcPr>
            <w:tcW w:w="4219" w:type="dxa"/>
          </w:tcPr>
          <w:p w:rsidR="00141DF9" w:rsidRPr="008100D4" w:rsidRDefault="00141DF9" w:rsidP="00AD753F">
            <w:pPr>
              <w:pStyle w:val="ListParagraph"/>
              <w:numPr>
                <w:ilvl w:val="0"/>
                <w:numId w:val="1"/>
              </w:numPr>
              <w:rPr>
                <w:rFonts w:asciiTheme="minorHAnsi" w:hAnsiTheme="minorHAnsi"/>
                <w:sz w:val="20"/>
                <w:szCs w:val="20"/>
              </w:rPr>
            </w:pPr>
            <w:r w:rsidRPr="008100D4">
              <w:rPr>
                <w:rFonts w:asciiTheme="minorHAnsi" w:hAnsiTheme="minorHAnsi"/>
                <w:sz w:val="20"/>
                <w:szCs w:val="20"/>
              </w:rPr>
              <w:t xml:space="preserve">Until substantial evidence of benefits to individuals, their communities and the economy is available, the case does not exist to intrude further into individual privacy by adding additional classes of personal information. </w:t>
            </w:r>
          </w:p>
        </w:tc>
        <w:tc>
          <w:tcPr>
            <w:tcW w:w="5023" w:type="dxa"/>
          </w:tcPr>
          <w:p w:rsidR="00141DF9" w:rsidRPr="008100D4" w:rsidRDefault="00643A8F" w:rsidP="00066886">
            <w:pPr>
              <w:rPr>
                <w:rFonts w:asciiTheme="minorHAnsi" w:hAnsiTheme="minorHAnsi"/>
                <w:sz w:val="20"/>
                <w:szCs w:val="20"/>
              </w:rPr>
            </w:pPr>
            <w:r w:rsidRPr="008100D4">
              <w:rPr>
                <w:rFonts w:asciiTheme="minorHAnsi" w:hAnsiTheme="minorHAnsi"/>
                <w:sz w:val="20"/>
                <w:szCs w:val="20"/>
              </w:rPr>
              <w:t xml:space="preserve">When people trust that their </w:t>
            </w:r>
            <w:r w:rsidR="008100D4" w:rsidRPr="008100D4">
              <w:rPr>
                <w:rFonts w:asciiTheme="minorHAnsi" w:hAnsiTheme="minorHAnsi"/>
                <w:sz w:val="20"/>
                <w:szCs w:val="20"/>
              </w:rPr>
              <w:t>information</w:t>
            </w:r>
            <w:r w:rsidRPr="008100D4">
              <w:rPr>
                <w:rFonts w:asciiTheme="minorHAnsi" w:hAnsiTheme="minorHAnsi"/>
                <w:sz w:val="20"/>
                <w:szCs w:val="20"/>
              </w:rPr>
              <w:t xml:space="preserve"> will be used as they have agreed, and accept that enough value will be created, they are likely to be more comfortable with its use. This acceptance is</w:t>
            </w:r>
            <w:r w:rsidR="008100D4" w:rsidRPr="008100D4">
              <w:rPr>
                <w:rFonts w:asciiTheme="minorHAnsi" w:hAnsiTheme="minorHAnsi"/>
                <w:sz w:val="20"/>
                <w:szCs w:val="20"/>
              </w:rPr>
              <w:t xml:space="preserve"> sometimes</w:t>
            </w:r>
            <w:r w:rsidRPr="008100D4">
              <w:rPr>
                <w:rFonts w:asciiTheme="minorHAnsi" w:hAnsiTheme="minorHAnsi"/>
                <w:sz w:val="20"/>
                <w:szCs w:val="20"/>
              </w:rPr>
              <w:t xml:space="preserve"> referred to as a social licence. </w:t>
            </w:r>
            <w:r w:rsidR="008100D4">
              <w:rPr>
                <w:rFonts w:asciiTheme="minorHAnsi" w:hAnsiTheme="minorHAnsi"/>
                <w:sz w:val="20"/>
                <w:szCs w:val="20"/>
              </w:rPr>
              <w:t>T</w:t>
            </w:r>
            <w:r w:rsidR="008100D4" w:rsidRPr="008100D4">
              <w:rPr>
                <w:rFonts w:asciiTheme="minorHAnsi" w:hAnsiTheme="minorHAnsi"/>
                <w:sz w:val="20"/>
                <w:szCs w:val="20"/>
              </w:rPr>
              <w:t xml:space="preserve">he social licence for CCR in its current form </w:t>
            </w:r>
            <w:r w:rsidR="00066886">
              <w:rPr>
                <w:rFonts w:asciiTheme="minorHAnsi" w:hAnsiTheme="minorHAnsi"/>
                <w:sz w:val="20"/>
                <w:szCs w:val="20"/>
              </w:rPr>
              <w:t>may be said to be</w:t>
            </w:r>
            <w:r w:rsidR="008100D4" w:rsidRPr="008100D4">
              <w:rPr>
                <w:rFonts w:asciiTheme="minorHAnsi" w:hAnsiTheme="minorHAnsi"/>
                <w:sz w:val="20"/>
                <w:szCs w:val="20"/>
              </w:rPr>
              <w:t xml:space="preserve"> dependent upon the creation of certain value for individuals, the community and the economy. </w:t>
            </w:r>
            <w:r w:rsidR="00066886">
              <w:rPr>
                <w:rFonts w:asciiTheme="minorHAnsi" w:hAnsiTheme="minorHAnsi"/>
                <w:sz w:val="20"/>
                <w:szCs w:val="20"/>
              </w:rPr>
              <w:t>S</w:t>
            </w:r>
            <w:r w:rsidR="008100D4" w:rsidRPr="008100D4">
              <w:rPr>
                <w:rFonts w:asciiTheme="minorHAnsi" w:hAnsiTheme="minorHAnsi"/>
                <w:sz w:val="20"/>
                <w:szCs w:val="20"/>
              </w:rPr>
              <w:t>ocial licence does not yet exist to go further</w:t>
            </w:r>
            <w:r w:rsidR="008100D4">
              <w:rPr>
                <w:rFonts w:asciiTheme="minorHAnsi" w:hAnsiTheme="minorHAnsi"/>
                <w:sz w:val="20"/>
                <w:szCs w:val="20"/>
              </w:rPr>
              <w:t xml:space="preserve"> by adding new classes of information such as account balance information.</w:t>
            </w:r>
            <w:r w:rsidR="008100D4" w:rsidRPr="008100D4">
              <w:rPr>
                <w:rFonts w:asciiTheme="minorHAnsi" w:hAnsiTheme="minorHAnsi"/>
                <w:sz w:val="20"/>
                <w:szCs w:val="20"/>
              </w:rPr>
              <w:t xml:space="preserve"> </w:t>
            </w:r>
          </w:p>
        </w:tc>
      </w:tr>
      <w:tr w:rsidR="00141DF9" w:rsidRPr="00141DF9" w:rsidTr="008100D4">
        <w:tc>
          <w:tcPr>
            <w:tcW w:w="4219" w:type="dxa"/>
          </w:tcPr>
          <w:p w:rsidR="00141DF9" w:rsidRPr="008100D4" w:rsidRDefault="00141DF9" w:rsidP="00AD753F">
            <w:pPr>
              <w:pStyle w:val="ListParagraph"/>
              <w:numPr>
                <w:ilvl w:val="0"/>
                <w:numId w:val="1"/>
              </w:numPr>
              <w:rPr>
                <w:rFonts w:asciiTheme="minorHAnsi" w:hAnsiTheme="minorHAnsi"/>
                <w:sz w:val="20"/>
                <w:szCs w:val="20"/>
              </w:rPr>
            </w:pPr>
            <w:r w:rsidRPr="008100D4">
              <w:rPr>
                <w:rFonts w:asciiTheme="minorHAnsi" w:hAnsiTheme="minorHAnsi"/>
                <w:sz w:val="20"/>
                <w:szCs w:val="20"/>
              </w:rPr>
              <w:t>Additional efforts should be taken by stakeholders to promote financial literacy around CCR as the uptake increases and the system matures.</w:t>
            </w:r>
          </w:p>
        </w:tc>
        <w:tc>
          <w:tcPr>
            <w:tcW w:w="5023" w:type="dxa"/>
          </w:tcPr>
          <w:p w:rsidR="00141DF9" w:rsidRPr="008100D4" w:rsidRDefault="008100D4" w:rsidP="00066886">
            <w:pPr>
              <w:rPr>
                <w:rFonts w:asciiTheme="minorHAnsi" w:hAnsiTheme="minorHAnsi"/>
                <w:sz w:val="20"/>
                <w:szCs w:val="20"/>
              </w:rPr>
            </w:pPr>
            <w:r>
              <w:rPr>
                <w:rFonts w:asciiTheme="minorHAnsi" w:hAnsiTheme="minorHAnsi"/>
                <w:sz w:val="20"/>
                <w:szCs w:val="20"/>
              </w:rPr>
              <w:t xml:space="preserve">The Office will discuss this recommendation with industry as there may be </w:t>
            </w:r>
            <w:r w:rsidR="00491696">
              <w:rPr>
                <w:rFonts w:asciiTheme="minorHAnsi" w:hAnsiTheme="minorHAnsi"/>
                <w:sz w:val="20"/>
                <w:szCs w:val="20"/>
              </w:rPr>
              <w:t xml:space="preserve">additional and better </w:t>
            </w:r>
            <w:r>
              <w:rPr>
                <w:rFonts w:asciiTheme="minorHAnsi" w:hAnsiTheme="minorHAnsi"/>
                <w:sz w:val="20"/>
                <w:szCs w:val="20"/>
              </w:rPr>
              <w:t xml:space="preserve">opportunities for initiatives in public education </w:t>
            </w:r>
            <w:r w:rsidR="00491696">
              <w:rPr>
                <w:rFonts w:asciiTheme="minorHAnsi" w:hAnsiTheme="minorHAnsi"/>
                <w:sz w:val="20"/>
                <w:szCs w:val="20"/>
              </w:rPr>
              <w:t>now that CCR is heading towards high participation rates and maturity.</w:t>
            </w:r>
          </w:p>
        </w:tc>
      </w:tr>
      <w:tr w:rsidR="00141DF9" w:rsidRPr="00141DF9" w:rsidTr="008100D4">
        <w:tc>
          <w:tcPr>
            <w:tcW w:w="4219" w:type="dxa"/>
          </w:tcPr>
          <w:p w:rsidR="00141DF9" w:rsidRDefault="00141DF9" w:rsidP="00AD753F">
            <w:pPr>
              <w:pStyle w:val="ListParagraph"/>
              <w:numPr>
                <w:ilvl w:val="0"/>
                <w:numId w:val="1"/>
              </w:numPr>
              <w:rPr>
                <w:rFonts w:asciiTheme="minorHAnsi" w:hAnsiTheme="minorHAnsi"/>
                <w:sz w:val="20"/>
                <w:szCs w:val="20"/>
              </w:rPr>
            </w:pPr>
            <w:r w:rsidRPr="008100D4">
              <w:rPr>
                <w:rFonts w:asciiTheme="minorHAnsi" w:hAnsiTheme="minorHAnsi"/>
                <w:sz w:val="20"/>
                <w:szCs w:val="20"/>
              </w:rPr>
              <w:t xml:space="preserve">Further steps should be taken, </w:t>
            </w:r>
            <w:r w:rsidR="00491696">
              <w:rPr>
                <w:rFonts w:asciiTheme="minorHAnsi" w:hAnsiTheme="minorHAnsi"/>
                <w:sz w:val="20"/>
                <w:szCs w:val="20"/>
              </w:rPr>
              <w:t>which may include</w:t>
            </w:r>
            <w:r w:rsidRPr="008100D4">
              <w:rPr>
                <w:rFonts w:asciiTheme="minorHAnsi" w:hAnsiTheme="minorHAnsi"/>
                <w:sz w:val="20"/>
                <w:szCs w:val="20"/>
              </w:rPr>
              <w:t xml:space="preserve"> amend</w:t>
            </w:r>
            <w:r w:rsidR="00491696">
              <w:rPr>
                <w:rFonts w:asciiTheme="minorHAnsi" w:hAnsiTheme="minorHAnsi"/>
                <w:sz w:val="20"/>
                <w:szCs w:val="20"/>
              </w:rPr>
              <w:t xml:space="preserve">ing </w:t>
            </w:r>
            <w:r w:rsidRPr="008100D4">
              <w:rPr>
                <w:rFonts w:asciiTheme="minorHAnsi" w:hAnsiTheme="minorHAnsi"/>
                <w:sz w:val="20"/>
                <w:szCs w:val="20"/>
              </w:rPr>
              <w:t>the Code, to:</w:t>
            </w:r>
          </w:p>
          <w:p w:rsidR="008100D4" w:rsidRPr="008100D4" w:rsidRDefault="008100D4" w:rsidP="008100D4">
            <w:pPr>
              <w:pStyle w:val="ListParagraph"/>
              <w:numPr>
                <w:ilvl w:val="1"/>
                <w:numId w:val="1"/>
              </w:numPr>
              <w:rPr>
                <w:rFonts w:asciiTheme="minorHAnsi" w:hAnsiTheme="minorHAnsi"/>
                <w:sz w:val="20"/>
                <w:szCs w:val="20"/>
              </w:rPr>
            </w:pPr>
            <w:r w:rsidRPr="008100D4">
              <w:rPr>
                <w:rFonts w:asciiTheme="minorHAnsi" w:hAnsiTheme="minorHAnsi"/>
                <w:sz w:val="20"/>
                <w:szCs w:val="20"/>
              </w:rPr>
              <w:t xml:space="preserve">promote subject access; and </w:t>
            </w:r>
          </w:p>
          <w:p w:rsidR="008100D4" w:rsidRPr="008100D4" w:rsidRDefault="008100D4" w:rsidP="008100D4">
            <w:pPr>
              <w:pStyle w:val="ListParagraph"/>
              <w:numPr>
                <w:ilvl w:val="1"/>
                <w:numId w:val="1"/>
              </w:numPr>
              <w:rPr>
                <w:rFonts w:asciiTheme="minorHAnsi" w:hAnsiTheme="minorHAnsi"/>
                <w:sz w:val="20"/>
                <w:szCs w:val="20"/>
              </w:rPr>
            </w:pPr>
            <w:proofErr w:type="gramStart"/>
            <w:r w:rsidRPr="008100D4">
              <w:rPr>
                <w:rFonts w:asciiTheme="minorHAnsi" w:hAnsiTheme="minorHAnsi"/>
                <w:sz w:val="20"/>
                <w:szCs w:val="20"/>
              </w:rPr>
              <w:t>support</w:t>
            </w:r>
            <w:proofErr w:type="gramEnd"/>
            <w:r w:rsidRPr="008100D4">
              <w:rPr>
                <w:rFonts w:asciiTheme="minorHAnsi" w:hAnsiTheme="minorHAnsi"/>
                <w:sz w:val="20"/>
                <w:szCs w:val="20"/>
              </w:rPr>
              <w:t xml:space="preserve"> the role of CCR in responsible lending.</w:t>
            </w:r>
          </w:p>
        </w:tc>
        <w:tc>
          <w:tcPr>
            <w:tcW w:w="5023" w:type="dxa"/>
          </w:tcPr>
          <w:p w:rsidR="00141DF9" w:rsidRPr="008100D4" w:rsidRDefault="00491696" w:rsidP="00491696">
            <w:pPr>
              <w:rPr>
                <w:rFonts w:asciiTheme="minorHAnsi" w:hAnsiTheme="minorHAnsi"/>
                <w:sz w:val="20"/>
                <w:szCs w:val="20"/>
              </w:rPr>
            </w:pPr>
            <w:r w:rsidRPr="00491696">
              <w:rPr>
                <w:rFonts w:asciiTheme="minorHAnsi" w:hAnsiTheme="minorHAnsi"/>
                <w:sz w:val="20"/>
                <w:szCs w:val="20"/>
              </w:rPr>
              <w:t xml:space="preserve">The Office will discuss recommendation </w:t>
            </w:r>
            <w:r>
              <w:rPr>
                <w:rFonts w:asciiTheme="minorHAnsi" w:hAnsiTheme="minorHAnsi"/>
                <w:sz w:val="20"/>
                <w:szCs w:val="20"/>
              </w:rPr>
              <w:t xml:space="preserve">5(a) </w:t>
            </w:r>
            <w:r w:rsidRPr="00491696">
              <w:rPr>
                <w:rFonts w:asciiTheme="minorHAnsi" w:hAnsiTheme="minorHAnsi"/>
                <w:sz w:val="20"/>
                <w:szCs w:val="20"/>
              </w:rPr>
              <w:t>with</w:t>
            </w:r>
            <w:r>
              <w:rPr>
                <w:rFonts w:asciiTheme="minorHAnsi" w:hAnsiTheme="minorHAnsi"/>
                <w:sz w:val="20"/>
                <w:szCs w:val="20"/>
              </w:rPr>
              <w:t xml:space="preserve"> credit reporters, and 5(b) both with credit reporters and representatives of lenders, to identify the most promising steps to promote the objectives of this recommendation.</w:t>
            </w:r>
          </w:p>
        </w:tc>
      </w:tr>
      <w:tr w:rsidR="00141DF9" w:rsidRPr="00141DF9" w:rsidTr="008100D4">
        <w:tc>
          <w:tcPr>
            <w:tcW w:w="4219" w:type="dxa"/>
          </w:tcPr>
          <w:p w:rsidR="00141DF9" w:rsidRPr="008100D4" w:rsidRDefault="00491696" w:rsidP="00491696">
            <w:pPr>
              <w:pStyle w:val="ListParagraph"/>
              <w:numPr>
                <w:ilvl w:val="0"/>
                <w:numId w:val="1"/>
              </w:numPr>
              <w:rPr>
                <w:rFonts w:asciiTheme="minorHAnsi" w:hAnsiTheme="minorHAnsi"/>
                <w:sz w:val="20"/>
                <w:szCs w:val="20"/>
              </w:rPr>
            </w:pPr>
            <w:r>
              <w:rPr>
                <w:rFonts w:asciiTheme="minorHAnsi" w:hAnsiTheme="minorHAnsi"/>
                <w:sz w:val="20"/>
                <w:szCs w:val="20"/>
              </w:rPr>
              <w:lastRenderedPageBreak/>
              <w:t>Consideration should be given to measures, including amending</w:t>
            </w:r>
            <w:r w:rsidRPr="00491696">
              <w:rPr>
                <w:rFonts w:asciiTheme="minorHAnsi" w:hAnsiTheme="minorHAnsi"/>
                <w:sz w:val="20"/>
                <w:szCs w:val="20"/>
              </w:rPr>
              <w:t xml:space="preserve"> the Code</w:t>
            </w:r>
            <w:r>
              <w:rPr>
                <w:rFonts w:asciiTheme="minorHAnsi" w:hAnsiTheme="minorHAnsi"/>
                <w:sz w:val="20"/>
                <w:szCs w:val="20"/>
              </w:rPr>
              <w:t xml:space="preserve">, </w:t>
            </w:r>
            <w:r w:rsidRPr="00491696">
              <w:rPr>
                <w:rFonts w:asciiTheme="minorHAnsi" w:hAnsiTheme="minorHAnsi"/>
                <w:sz w:val="20"/>
                <w:szCs w:val="20"/>
              </w:rPr>
              <w:t>to enhance the effectiveness of the independent reviewer component of the accountability model.</w:t>
            </w:r>
          </w:p>
        </w:tc>
        <w:tc>
          <w:tcPr>
            <w:tcW w:w="5023" w:type="dxa"/>
          </w:tcPr>
          <w:p w:rsidR="00141DF9" w:rsidRPr="008100D4" w:rsidRDefault="00B80C1B" w:rsidP="00B80C1B">
            <w:pPr>
              <w:rPr>
                <w:rFonts w:asciiTheme="minorHAnsi" w:hAnsiTheme="minorHAnsi"/>
                <w:sz w:val="20"/>
                <w:szCs w:val="20"/>
              </w:rPr>
            </w:pPr>
            <w:r w:rsidRPr="00B80C1B">
              <w:rPr>
                <w:rFonts w:asciiTheme="minorHAnsi" w:hAnsiTheme="minorHAnsi"/>
                <w:sz w:val="20"/>
                <w:szCs w:val="20"/>
              </w:rPr>
              <w:t xml:space="preserve">The Office will discuss </w:t>
            </w:r>
            <w:r>
              <w:rPr>
                <w:rFonts w:asciiTheme="minorHAnsi" w:hAnsiTheme="minorHAnsi"/>
                <w:sz w:val="20"/>
                <w:szCs w:val="20"/>
              </w:rPr>
              <w:t xml:space="preserve">this </w:t>
            </w:r>
            <w:r w:rsidRPr="00B80C1B">
              <w:rPr>
                <w:rFonts w:asciiTheme="minorHAnsi" w:hAnsiTheme="minorHAnsi"/>
                <w:sz w:val="20"/>
                <w:szCs w:val="20"/>
              </w:rPr>
              <w:t>recommendation with credit reporters</w:t>
            </w:r>
            <w:r>
              <w:rPr>
                <w:rFonts w:asciiTheme="minorHAnsi" w:hAnsiTheme="minorHAnsi"/>
                <w:sz w:val="20"/>
                <w:szCs w:val="20"/>
              </w:rPr>
              <w:t xml:space="preserve"> </w:t>
            </w:r>
            <w:r w:rsidRPr="00B80C1B">
              <w:rPr>
                <w:rFonts w:asciiTheme="minorHAnsi" w:hAnsiTheme="minorHAnsi"/>
                <w:sz w:val="20"/>
                <w:szCs w:val="20"/>
              </w:rPr>
              <w:t>to identify the most promising steps to promote the objectives of this recommendation</w:t>
            </w:r>
            <w:r>
              <w:rPr>
                <w:rFonts w:asciiTheme="minorHAnsi" w:hAnsiTheme="minorHAnsi"/>
                <w:sz w:val="20"/>
                <w:szCs w:val="20"/>
              </w:rPr>
              <w:t xml:space="preserve">. </w:t>
            </w:r>
          </w:p>
        </w:tc>
      </w:tr>
      <w:tr w:rsidR="00B80C1B" w:rsidRPr="00141DF9" w:rsidTr="008100D4">
        <w:tc>
          <w:tcPr>
            <w:tcW w:w="4219" w:type="dxa"/>
          </w:tcPr>
          <w:p w:rsidR="00B80C1B" w:rsidRPr="00B80C1B" w:rsidRDefault="00B80C1B" w:rsidP="00B80C1B">
            <w:pPr>
              <w:pStyle w:val="ListParagraph"/>
              <w:numPr>
                <w:ilvl w:val="0"/>
                <w:numId w:val="1"/>
              </w:numPr>
              <w:rPr>
                <w:rFonts w:asciiTheme="minorHAnsi" w:hAnsiTheme="minorHAnsi"/>
                <w:sz w:val="20"/>
                <w:szCs w:val="20"/>
              </w:rPr>
            </w:pPr>
            <w:r w:rsidRPr="00B80C1B">
              <w:rPr>
                <w:rFonts w:asciiTheme="minorHAnsi" w:hAnsiTheme="minorHAnsi"/>
                <w:sz w:val="20"/>
                <w:szCs w:val="20"/>
              </w:rPr>
              <w:t xml:space="preserve">The Code should provide for individuals to be notified of the imminent expiry of an extended suppression granted in relation to the risk of identity fraud. </w:t>
            </w:r>
          </w:p>
        </w:tc>
        <w:tc>
          <w:tcPr>
            <w:tcW w:w="5023" w:type="dxa"/>
          </w:tcPr>
          <w:p w:rsidR="00B80C1B" w:rsidRPr="00B80C1B" w:rsidRDefault="00B80C1B" w:rsidP="00B80C1B">
            <w:pPr>
              <w:rPr>
                <w:rFonts w:asciiTheme="minorHAnsi" w:hAnsiTheme="minorHAnsi"/>
                <w:sz w:val="20"/>
                <w:szCs w:val="20"/>
              </w:rPr>
            </w:pPr>
            <w:r>
              <w:rPr>
                <w:rFonts w:asciiTheme="minorHAnsi" w:hAnsiTheme="minorHAnsi"/>
                <w:sz w:val="20"/>
                <w:szCs w:val="20"/>
              </w:rPr>
              <w:t>An amendment to the Code will be prepared.</w:t>
            </w:r>
          </w:p>
        </w:tc>
      </w:tr>
      <w:tr w:rsidR="00B80C1B" w:rsidRPr="00141DF9" w:rsidTr="008100D4">
        <w:tc>
          <w:tcPr>
            <w:tcW w:w="4219" w:type="dxa"/>
          </w:tcPr>
          <w:p w:rsidR="00B80C1B" w:rsidRPr="00B80C1B" w:rsidRDefault="00B80C1B" w:rsidP="00B80C1B">
            <w:pPr>
              <w:pStyle w:val="ListParagraph"/>
              <w:numPr>
                <w:ilvl w:val="0"/>
                <w:numId w:val="1"/>
              </w:numPr>
              <w:rPr>
                <w:rFonts w:asciiTheme="minorHAnsi" w:hAnsiTheme="minorHAnsi"/>
                <w:sz w:val="20"/>
                <w:szCs w:val="20"/>
              </w:rPr>
            </w:pPr>
            <w:r w:rsidRPr="00B80C1B">
              <w:rPr>
                <w:rFonts w:asciiTheme="minorHAnsi" w:hAnsiTheme="minorHAnsi"/>
                <w:sz w:val="20"/>
                <w:szCs w:val="20"/>
              </w:rPr>
              <w:t>Steps should be taken to enable individuals more easily to obtain suppression across multiple credit providers.</w:t>
            </w:r>
          </w:p>
        </w:tc>
        <w:tc>
          <w:tcPr>
            <w:tcW w:w="5023" w:type="dxa"/>
          </w:tcPr>
          <w:p w:rsidR="00B80C1B" w:rsidRDefault="00DD75EA" w:rsidP="00B80C1B">
            <w:pPr>
              <w:rPr>
                <w:rFonts w:asciiTheme="minorHAnsi" w:hAnsiTheme="minorHAnsi"/>
                <w:sz w:val="20"/>
                <w:szCs w:val="20"/>
              </w:rPr>
            </w:pPr>
            <w:r w:rsidRPr="00DD75EA">
              <w:rPr>
                <w:rFonts w:asciiTheme="minorHAnsi" w:hAnsiTheme="minorHAnsi"/>
                <w:sz w:val="20"/>
                <w:szCs w:val="20"/>
              </w:rPr>
              <w:t>The Office will discuss this recommendation with credit reporters to identify the most promising steps to promote the objectives of this recommendation including whether any amendment to the Code is necessary.</w:t>
            </w:r>
          </w:p>
        </w:tc>
      </w:tr>
      <w:tr w:rsidR="00B80C1B" w:rsidRPr="00141DF9" w:rsidTr="008100D4">
        <w:tc>
          <w:tcPr>
            <w:tcW w:w="4219" w:type="dxa"/>
          </w:tcPr>
          <w:p w:rsidR="00B80C1B" w:rsidRPr="00B80C1B" w:rsidRDefault="00B80C1B" w:rsidP="00B80C1B">
            <w:pPr>
              <w:pStyle w:val="ListParagraph"/>
              <w:numPr>
                <w:ilvl w:val="0"/>
                <w:numId w:val="1"/>
              </w:numPr>
              <w:rPr>
                <w:rFonts w:asciiTheme="minorHAnsi" w:hAnsiTheme="minorHAnsi"/>
                <w:sz w:val="20"/>
                <w:szCs w:val="20"/>
              </w:rPr>
            </w:pPr>
            <w:r w:rsidRPr="00B80C1B">
              <w:rPr>
                <w:rFonts w:asciiTheme="minorHAnsi" w:hAnsiTheme="minorHAnsi"/>
                <w:sz w:val="20"/>
                <w:szCs w:val="20"/>
              </w:rPr>
              <w:t>Without changing its fundamental structure and obligations, the Code’s pre-screening terminology should be aligned with the Responsible Lending Code.</w:t>
            </w:r>
          </w:p>
        </w:tc>
        <w:tc>
          <w:tcPr>
            <w:tcW w:w="5023" w:type="dxa"/>
          </w:tcPr>
          <w:p w:rsidR="00B80C1B" w:rsidRDefault="00DD75EA" w:rsidP="00DD75EA">
            <w:pPr>
              <w:rPr>
                <w:rFonts w:asciiTheme="minorHAnsi" w:hAnsiTheme="minorHAnsi"/>
                <w:sz w:val="20"/>
                <w:szCs w:val="20"/>
              </w:rPr>
            </w:pPr>
            <w:r w:rsidRPr="00DD75EA">
              <w:rPr>
                <w:rFonts w:asciiTheme="minorHAnsi" w:hAnsiTheme="minorHAnsi"/>
                <w:sz w:val="20"/>
                <w:szCs w:val="20"/>
              </w:rPr>
              <w:t xml:space="preserve">The Office will discuss </w:t>
            </w:r>
            <w:r>
              <w:rPr>
                <w:rFonts w:asciiTheme="minorHAnsi" w:hAnsiTheme="minorHAnsi"/>
                <w:sz w:val="20"/>
                <w:szCs w:val="20"/>
              </w:rPr>
              <w:t xml:space="preserve">this </w:t>
            </w:r>
            <w:r w:rsidRPr="00DD75EA">
              <w:rPr>
                <w:rFonts w:asciiTheme="minorHAnsi" w:hAnsiTheme="minorHAnsi"/>
                <w:sz w:val="20"/>
                <w:szCs w:val="20"/>
              </w:rPr>
              <w:t>recommendation with credit reporters</w:t>
            </w:r>
            <w:r>
              <w:rPr>
                <w:rFonts w:asciiTheme="minorHAnsi" w:hAnsiTheme="minorHAnsi"/>
                <w:sz w:val="20"/>
                <w:szCs w:val="20"/>
              </w:rPr>
              <w:t xml:space="preserve">, </w:t>
            </w:r>
            <w:r w:rsidRPr="00DD75EA">
              <w:rPr>
                <w:rFonts w:asciiTheme="minorHAnsi" w:hAnsiTheme="minorHAnsi"/>
                <w:sz w:val="20"/>
                <w:szCs w:val="20"/>
              </w:rPr>
              <w:t>representatives of lenders</w:t>
            </w:r>
            <w:r>
              <w:rPr>
                <w:rFonts w:asciiTheme="minorHAnsi" w:hAnsiTheme="minorHAnsi"/>
                <w:sz w:val="20"/>
                <w:szCs w:val="20"/>
              </w:rPr>
              <w:t xml:space="preserve"> and with the Ministry of Business Innovation and Enterprise</w:t>
            </w:r>
            <w:r w:rsidRPr="00DD75EA">
              <w:rPr>
                <w:rFonts w:asciiTheme="minorHAnsi" w:hAnsiTheme="minorHAnsi"/>
                <w:sz w:val="20"/>
                <w:szCs w:val="20"/>
              </w:rPr>
              <w:t xml:space="preserve"> to identify the most promising steps to promote the objectives of this recommendation.</w:t>
            </w:r>
          </w:p>
        </w:tc>
      </w:tr>
      <w:tr w:rsidR="00B80C1B" w:rsidRPr="00141DF9" w:rsidTr="008100D4">
        <w:tc>
          <w:tcPr>
            <w:tcW w:w="4219" w:type="dxa"/>
          </w:tcPr>
          <w:p w:rsidR="00B80C1B" w:rsidRPr="00B80C1B" w:rsidRDefault="00B80C1B" w:rsidP="00B80C1B">
            <w:pPr>
              <w:pStyle w:val="ListParagraph"/>
              <w:numPr>
                <w:ilvl w:val="0"/>
                <w:numId w:val="1"/>
              </w:numPr>
              <w:rPr>
                <w:rFonts w:asciiTheme="minorHAnsi" w:hAnsiTheme="minorHAnsi"/>
                <w:sz w:val="20"/>
                <w:szCs w:val="20"/>
              </w:rPr>
            </w:pPr>
            <w:r w:rsidRPr="00B80C1B">
              <w:rPr>
                <w:rFonts w:asciiTheme="minorHAnsi" w:hAnsiTheme="minorHAnsi"/>
                <w:sz w:val="20"/>
                <w:szCs w:val="20"/>
              </w:rPr>
              <w:t xml:space="preserve">Consideration should be given to making the Code’s prohibition on any credit reporter use of credit information to facilitate marketing, other than in respect of pre-screening, even clearer. The prohibition extends to any tools, services or arrangements that might be designed or have the effect of circumventing the prohibition. </w:t>
            </w:r>
          </w:p>
        </w:tc>
        <w:tc>
          <w:tcPr>
            <w:tcW w:w="5023" w:type="dxa"/>
          </w:tcPr>
          <w:p w:rsidR="00B80C1B" w:rsidRDefault="00DD75EA" w:rsidP="00B80C1B">
            <w:pPr>
              <w:rPr>
                <w:rFonts w:asciiTheme="minorHAnsi" w:hAnsiTheme="minorHAnsi"/>
                <w:sz w:val="20"/>
                <w:szCs w:val="20"/>
              </w:rPr>
            </w:pPr>
            <w:r w:rsidRPr="00DD75EA">
              <w:rPr>
                <w:rFonts w:asciiTheme="minorHAnsi" w:hAnsiTheme="minorHAnsi"/>
                <w:sz w:val="20"/>
                <w:szCs w:val="20"/>
              </w:rPr>
              <w:t>An amendment to the Code will be prepared.</w:t>
            </w:r>
          </w:p>
        </w:tc>
      </w:tr>
      <w:tr w:rsidR="00B80C1B" w:rsidRPr="00141DF9" w:rsidTr="008100D4">
        <w:tc>
          <w:tcPr>
            <w:tcW w:w="4219" w:type="dxa"/>
          </w:tcPr>
          <w:p w:rsidR="00B80C1B" w:rsidRPr="00B80C1B" w:rsidRDefault="00B80C1B" w:rsidP="00B80C1B">
            <w:pPr>
              <w:pStyle w:val="ListParagraph"/>
              <w:numPr>
                <w:ilvl w:val="0"/>
                <w:numId w:val="1"/>
              </w:numPr>
              <w:rPr>
                <w:rFonts w:asciiTheme="minorHAnsi" w:hAnsiTheme="minorHAnsi"/>
                <w:sz w:val="20"/>
                <w:szCs w:val="20"/>
              </w:rPr>
            </w:pPr>
            <w:r w:rsidRPr="00B80C1B">
              <w:rPr>
                <w:rFonts w:asciiTheme="minorHAnsi" w:hAnsiTheme="minorHAnsi"/>
                <w:sz w:val="20"/>
                <w:szCs w:val="20"/>
              </w:rPr>
              <w:t xml:space="preserve">Steps should be taken by the industry to promote the wider adoption of quotation enquiries. </w:t>
            </w:r>
          </w:p>
        </w:tc>
        <w:tc>
          <w:tcPr>
            <w:tcW w:w="5023" w:type="dxa"/>
          </w:tcPr>
          <w:p w:rsidR="00B80C1B" w:rsidRDefault="00DD75EA" w:rsidP="00C90E6C">
            <w:pPr>
              <w:rPr>
                <w:rFonts w:asciiTheme="minorHAnsi" w:hAnsiTheme="minorHAnsi"/>
                <w:sz w:val="20"/>
                <w:szCs w:val="20"/>
              </w:rPr>
            </w:pPr>
            <w:r w:rsidRPr="00DD75EA">
              <w:rPr>
                <w:rFonts w:asciiTheme="minorHAnsi" w:hAnsiTheme="minorHAnsi"/>
                <w:sz w:val="20"/>
                <w:szCs w:val="20"/>
              </w:rPr>
              <w:t xml:space="preserve">The Office will discuss this recommendation with credit reporters </w:t>
            </w:r>
            <w:r>
              <w:rPr>
                <w:rFonts w:asciiTheme="minorHAnsi" w:hAnsiTheme="minorHAnsi"/>
                <w:sz w:val="20"/>
                <w:szCs w:val="20"/>
              </w:rPr>
              <w:t xml:space="preserve">and representatives of lenders </w:t>
            </w:r>
            <w:r w:rsidRPr="00DD75EA">
              <w:rPr>
                <w:rFonts w:asciiTheme="minorHAnsi" w:hAnsiTheme="minorHAnsi"/>
                <w:sz w:val="20"/>
                <w:szCs w:val="20"/>
              </w:rPr>
              <w:t>to identify the most promising steps to promote the objectives of this recommendation</w:t>
            </w:r>
            <w:r>
              <w:rPr>
                <w:rFonts w:asciiTheme="minorHAnsi" w:hAnsiTheme="minorHAnsi"/>
                <w:sz w:val="20"/>
                <w:szCs w:val="20"/>
              </w:rPr>
              <w:t>.</w:t>
            </w:r>
            <w:r w:rsidR="00C90E6C">
              <w:rPr>
                <w:rFonts w:asciiTheme="minorHAnsi" w:hAnsiTheme="minorHAnsi"/>
                <w:sz w:val="20"/>
                <w:szCs w:val="20"/>
              </w:rPr>
              <w:t xml:space="preserve"> The</w:t>
            </w:r>
            <w:bookmarkStart w:id="0" w:name="_GoBack"/>
            <w:bookmarkEnd w:id="0"/>
            <w:r w:rsidR="00C90E6C">
              <w:rPr>
                <w:rFonts w:asciiTheme="minorHAnsi" w:hAnsiTheme="minorHAnsi"/>
                <w:sz w:val="20"/>
                <w:szCs w:val="20"/>
              </w:rPr>
              <w:t xml:space="preserve"> issue will also be explored with representative organisations of telecommunications service providers and utilities.</w:t>
            </w:r>
          </w:p>
        </w:tc>
      </w:tr>
      <w:tr w:rsidR="00B80C1B" w:rsidRPr="00141DF9" w:rsidTr="008100D4">
        <w:tc>
          <w:tcPr>
            <w:tcW w:w="4219" w:type="dxa"/>
          </w:tcPr>
          <w:p w:rsidR="00B80C1B" w:rsidRPr="00B80C1B" w:rsidRDefault="00B80C1B" w:rsidP="007C122A">
            <w:pPr>
              <w:pStyle w:val="ListParagraph"/>
              <w:numPr>
                <w:ilvl w:val="0"/>
                <w:numId w:val="1"/>
              </w:numPr>
              <w:rPr>
                <w:rFonts w:asciiTheme="minorHAnsi" w:hAnsiTheme="minorHAnsi"/>
                <w:sz w:val="20"/>
                <w:szCs w:val="20"/>
              </w:rPr>
            </w:pPr>
            <w:r w:rsidRPr="00B80C1B">
              <w:rPr>
                <w:rFonts w:asciiTheme="minorHAnsi" w:hAnsiTheme="minorHAnsi"/>
                <w:sz w:val="20"/>
                <w:szCs w:val="20"/>
              </w:rPr>
              <w:t xml:space="preserve">Consideration should be given to reducing the </w:t>
            </w:r>
            <w:r w:rsidR="007C122A">
              <w:rPr>
                <w:rFonts w:asciiTheme="minorHAnsi" w:hAnsiTheme="minorHAnsi"/>
                <w:sz w:val="20"/>
                <w:szCs w:val="20"/>
              </w:rPr>
              <w:t>reporting</w:t>
            </w:r>
            <w:r w:rsidRPr="00B80C1B">
              <w:rPr>
                <w:rFonts w:asciiTheme="minorHAnsi" w:hAnsiTheme="minorHAnsi"/>
                <w:sz w:val="20"/>
                <w:szCs w:val="20"/>
              </w:rPr>
              <w:t xml:space="preserve"> period for previous enquiries.</w:t>
            </w:r>
          </w:p>
        </w:tc>
        <w:tc>
          <w:tcPr>
            <w:tcW w:w="5023" w:type="dxa"/>
          </w:tcPr>
          <w:p w:rsidR="00B80C1B" w:rsidRDefault="00DD75EA" w:rsidP="005D43D0">
            <w:pPr>
              <w:rPr>
                <w:rFonts w:asciiTheme="minorHAnsi" w:hAnsiTheme="minorHAnsi"/>
                <w:sz w:val="20"/>
                <w:szCs w:val="20"/>
              </w:rPr>
            </w:pPr>
            <w:r w:rsidRPr="00DD75EA">
              <w:rPr>
                <w:rFonts w:asciiTheme="minorHAnsi" w:hAnsiTheme="minorHAnsi"/>
                <w:sz w:val="20"/>
                <w:szCs w:val="20"/>
              </w:rPr>
              <w:t>The Office will discuss with credit reporters</w:t>
            </w:r>
            <w:r>
              <w:rPr>
                <w:rFonts w:asciiTheme="minorHAnsi" w:hAnsiTheme="minorHAnsi"/>
                <w:sz w:val="20"/>
                <w:szCs w:val="20"/>
              </w:rPr>
              <w:t xml:space="preserve"> </w:t>
            </w:r>
            <w:r w:rsidR="007C122A">
              <w:rPr>
                <w:rFonts w:asciiTheme="minorHAnsi" w:hAnsiTheme="minorHAnsi"/>
                <w:sz w:val="20"/>
                <w:szCs w:val="20"/>
              </w:rPr>
              <w:t xml:space="preserve">the possible reduction of the reporting period for previous enquiries from 5 years to 12 months. </w:t>
            </w:r>
            <w:r>
              <w:rPr>
                <w:rFonts w:asciiTheme="minorHAnsi" w:hAnsiTheme="minorHAnsi"/>
                <w:sz w:val="20"/>
                <w:szCs w:val="20"/>
              </w:rPr>
              <w:t xml:space="preserve"> </w:t>
            </w:r>
            <w:r w:rsidR="007C122A">
              <w:rPr>
                <w:rFonts w:asciiTheme="minorHAnsi" w:hAnsiTheme="minorHAnsi"/>
                <w:sz w:val="20"/>
                <w:szCs w:val="20"/>
              </w:rPr>
              <w:t xml:space="preserve"> </w:t>
            </w:r>
            <w:r>
              <w:rPr>
                <w:rFonts w:asciiTheme="minorHAnsi" w:hAnsiTheme="minorHAnsi"/>
                <w:sz w:val="20"/>
                <w:szCs w:val="20"/>
              </w:rPr>
              <w:t xml:space="preserve"> </w:t>
            </w:r>
          </w:p>
        </w:tc>
      </w:tr>
      <w:tr w:rsidR="00B80C1B" w:rsidRPr="00141DF9" w:rsidTr="008100D4">
        <w:tc>
          <w:tcPr>
            <w:tcW w:w="4219" w:type="dxa"/>
          </w:tcPr>
          <w:p w:rsidR="00B80C1B" w:rsidRPr="00B80C1B" w:rsidRDefault="00B80C1B" w:rsidP="007C122A">
            <w:pPr>
              <w:pStyle w:val="ListParagraph"/>
              <w:numPr>
                <w:ilvl w:val="0"/>
                <w:numId w:val="1"/>
              </w:numPr>
              <w:rPr>
                <w:rFonts w:asciiTheme="minorHAnsi" w:hAnsiTheme="minorHAnsi"/>
                <w:sz w:val="20"/>
                <w:szCs w:val="20"/>
              </w:rPr>
            </w:pPr>
            <w:r w:rsidRPr="00B80C1B">
              <w:rPr>
                <w:rFonts w:asciiTheme="minorHAnsi" w:hAnsiTheme="minorHAnsi"/>
                <w:sz w:val="20"/>
                <w:szCs w:val="20"/>
              </w:rPr>
              <w:t xml:space="preserve">The Code should be amended to provide a clearer access right to credit scores to which the no-charging requirement clearly applies. </w:t>
            </w:r>
          </w:p>
        </w:tc>
        <w:tc>
          <w:tcPr>
            <w:tcW w:w="5023" w:type="dxa"/>
          </w:tcPr>
          <w:p w:rsidR="00B80C1B" w:rsidRDefault="007C122A" w:rsidP="00B80C1B">
            <w:pPr>
              <w:rPr>
                <w:rFonts w:asciiTheme="minorHAnsi" w:hAnsiTheme="minorHAnsi"/>
                <w:sz w:val="20"/>
                <w:szCs w:val="20"/>
              </w:rPr>
            </w:pPr>
            <w:r w:rsidRPr="007C122A">
              <w:rPr>
                <w:rFonts w:asciiTheme="minorHAnsi" w:hAnsiTheme="minorHAnsi"/>
                <w:sz w:val="20"/>
                <w:szCs w:val="20"/>
              </w:rPr>
              <w:t>An amendment to the Code will be prepared.</w:t>
            </w:r>
          </w:p>
        </w:tc>
      </w:tr>
    </w:tbl>
    <w:p w:rsidR="00141DF9" w:rsidRPr="00141DF9" w:rsidRDefault="00141DF9" w:rsidP="00141DF9">
      <w:pPr>
        <w:rPr>
          <w:rFonts w:asciiTheme="minorHAnsi" w:hAnsiTheme="minorHAnsi"/>
          <w:b/>
        </w:rPr>
      </w:pPr>
    </w:p>
    <w:p w:rsidR="00141DF9" w:rsidRDefault="00461453" w:rsidP="00141DF9">
      <w:pPr>
        <w:rPr>
          <w:rFonts w:asciiTheme="minorHAnsi" w:hAnsiTheme="minorHAnsi"/>
          <w:b/>
        </w:rPr>
      </w:pPr>
      <w:r>
        <w:rPr>
          <w:rFonts w:asciiTheme="minorHAnsi" w:hAnsiTheme="minorHAnsi"/>
          <w:b/>
        </w:rPr>
        <w:t>Findings expected to be discussed with industry</w:t>
      </w:r>
    </w:p>
    <w:p w:rsidR="00461453" w:rsidRDefault="00461453" w:rsidP="00141DF9">
      <w:pPr>
        <w:rPr>
          <w:rFonts w:asciiTheme="minorHAnsi" w:hAnsiTheme="minorHAnsi"/>
        </w:rPr>
      </w:pPr>
      <w:r w:rsidRPr="00461453">
        <w:rPr>
          <w:rFonts w:asciiTheme="minorHAnsi" w:hAnsiTheme="minorHAnsi"/>
        </w:rPr>
        <w:t xml:space="preserve">The following </w:t>
      </w:r>
      <w:r>
        <w:rPr>
          <w:rFonts w:asciiTheme="minorHAnsi" w:hAnsiTheme="minorHAnsi"/>
        </w:rPr>
        <w:t xml:space="preserve">items derived from the report’s </w:t>
      </w:r>
      <w:r w:rsidRPr="00461453">
        <w:rPr>
          <w:rFonts w:asciiTheme="minorHAnsi" w:hAnsiTheme="minorHAnsi"/>
        </w:rPr>
        <w:t>findings</w:t>
      </w:r>
      <w:r>
        <w:rPr>
          <w:rFonts w:asciiTheme="minorHAnsi" w:hAnsiTheme="minorHAnsi"/>
        </w:rPr>
        <w:t xml:space="preserve"> and commentary</w:t>
      </w:r>
      <w:r w:rsidRPr="00461453">
        <w:rPr>
          <w:rFonts w:asciiTheme="minorHAnsi" w:hAnsiTheme="minorHAnsi"/>
        </w:rPr>
        <w:t xml:space="preserve"> </w:t>
      </w:r>
      <w:r>
        <w:rPr>
          <w:rFonts w:asciiTheme="minorHAnsi" w:hAnsiTheme="minorHAnsi"/>
        </w:rPr>
        <w:t>will be further explored with the credit reporters and, where appropriate, with representative associations of credit providers with a view to identifying useful action to address matters of concern.</w:t>
      </w:r>
    </w:p>
    <w:p w:rsidR="00461453" w:rsidRDefault="00C57553" w:rsidP="00C57553">
      <w:pPr>
        <w:pStyle w:val="ListParagraph"/>
        <w:numPr>
          <w:ilvl w:val="0"/>
          <w:numId w:val="2"/>
        </w:numPr>
        <w:rPr>
          <w:rFonts w:asciiTheme="minorHAnsi" w:hAnsiTheme="minorHAnsi"/>
        </w:rPr>
      </w:pPr>
      <w:r w:rsidRPr="00C57553">
        <w:rPr>
          <w:rFonts w:asciiTheme="minorHAnsi" w:hAnsiTheme="minorHAnsi"/>
          <w:i/>
        </w:rPr>
        <w:t>Participation rates</w:t>
      </w:r>
      <w:r>
        <w:rPr>
          <w:rFonts w:asciiTheme="minorHAnsi" w:hAnsiTheme="minorHAnsi"/>
        </w:rPr>
        <w:t>:</w:t>
      </w:r>
      <w:r w:rsidRPr="00C57553">
        <w:rPr>
          <w:rFonts w:asciiTheme="minorHAnsi" w:hAnsiTheme="minorHAnsi"/>
        </w:rPr>
        <w:t xml:space="preserve"> </w:t>
      </w:r>
      <w:r w:rsidR="00461453" w:rsidRPr="00461453">
        <w:rPr>
          <w:rFonts w:asciiTheme="minorHAnsi" w:hAnsiTheme="minorHAnsi"/>
        </w:rPr>
        <w:t>Participation rates of credit providers, telecommunications service providers and utilities</w:t>
      </w:r>
      <w:r>
        <w:rPr>
          <w:rFonts w:asciiTheme="minorHAnsi" w:hAnsiTheme="minorHAnsi"/>
        </w:rPr>
        <w:t xml:space="preserve"> and related matters such as building and measuring participation</w:t>
      </w:r>
      <w:r w:rsidR="00461453" w:rsidRPr="00461453">
        <w:rPr>
          <w:rFonts w:asciiTheme="minorHAnsi" w:hAnsiTheme="minorHAnsi"/>
        </w:rPr>
        <w:t>.</w:t>
      </w:r>
    </w:p>
    <w:p w:rsidR="00461453" w:rsidRPr="00C57553" w:rsidRDefault="00C57553" w:rsidP="00461453">
      <w:pPr>
        <w:pStyle w:val="ListParagraph"/>
        <w:numPr>
          <w:ilvl w:val="0"/>
          <w:numId w:val="2"/>
        </w:numPr>
        <w:rPr>
          <w:rFonts w:asciiTheme="minorHAnsi" w:hAnsiTheme="minorHAnsi"/>
        </w:rPr>
      </w:pPr>
      <w:r w:rsidRPr="00C57553">
        <w:rPr>
          <w:rFonts w:asciiTheme="minorHAnsi" w:hAnsiTheme="minorHAnsi"/>
          <w:i/>
        </w:rPr>
        <w:t>Australian developments</w:t>
      </w:r>
      <w:r w:rsidRPr="00C57553">
        <w:rPr>
          <w:rFonts w:asciiTheme="minorHAnsi" w:hAnsiTheme="minorHAnsi"/>
        </w:rPr>
        <w:t xml:space="preserve">: </w:t>
      </w:r>
      <w:r w:rsidR="00461453" w:rsidRPr="00C57553">
        <w:rPr>
          <w:rFonts w:asciiTheme="minorHAnsi" w:hAnsiTheme="minorHAnsi"/>
        </w:rPr>
        <w:t>The likely effects of the introduction in Australia of mandatory reporting.</w:t>
      </w:r>
      <w:r w:rsidRPr="00C57553">
        <w:rPr>
          <w:rFonts w:asciiTheme="minorHAnsi" w:hAnsiTheme="minorHAnsi"/>
        </w:rPr>
        <w:t xml:space="preserve"> </w:t>
      </w:r>
      <w:r>
        <w:rPr>
          <w:rFonts w:asciiTheme="minorHAnsi" w:hAnsiTheme="minorHAnsi"/>
        </w:rPr>
        <w:t>R</w:t>
      </w:r>
      <w:r w:rsidRPr="00C57553">
        <w:rPr>
          <w:rFonts w:asciiTheme="minorHAnsi" w:hAnsiTheme="minorHAnsi"/>
        </w:rPr>
        <w:t xml:space="preserve">elevant </w:t>
      </w:r>
      <w:r w:rsidR="00461453" w:rsidRPr="00C57553">
        <w:rPr>
          <w:rFonts w:asciiTheme="minorHAnsi" w:hAnsiTheme="minorHAnsi"/>
        </w:rPr>
        <w:t xml:space="preserve">lessons from the PWC report and </w:t>
      </w:r>
      <w:r w:rsidRPr="00C57553">
        <w:rPr>
          <w:rFonts w:asciiTheme="minorHAnsi" w:hAnsiTheme="minorHAnsi"/>
        </w:rPr>
        <w:t>proposed amendments to Australian code</w:t>
      </w:r>
      <w:r w:rsidR="00461453" w:rsidRPr="00C57553">
        <w:rPr>
          <w:rFonts w:asciiTheme="minorHAnsi" w:hAnsiTheme="minorHAnsi"/>
        </w:rPr>
        <w:t>.</w:t>
      </w:r>
    </w:p>
    <w:p w:rsidR="00C57553" w:rsidRDefault="00C57553" w:rsidP="00461453">
      <w:pPr>
        <w:pStyle w:val="ListParagraph"/>
        <w:numPr>
          <w:ilvl w:val="0"/>
          <w:numId w:val="2"/>
        </w:numPr>
        <w:rPr>
          <w:rFonts w:asciiTheme="minorHAnsi" w:hAnsiTheme="minorHAnsi"/>
        </w:rPr>
      </w:pPr>
      <w:r w:rsidRPr="00C57553">
        <w:rPr>
          <w:rFonts w:asciiTheme="minorHAnsi" w:hAnsiTheme="minorHAnsi"/>
          <w:i/>
        </w:rPr>
        <w:t>Public benefits</w:t>
      </w:r>
      <w:r>
        <w:rPr>
          <w:rFonts w:asciiTheme="minorHAnsi" w:hAnsiTheme="minorHAnsi"/>
        </w:rPr>
        <w:t>: Demonstrating progress in achieving public interest goals such as competition, innovation, responsible lending, financial inclusion, financial literacy.</w:t>
      </w:r>
    </w:p>
    <w:p w:rsidR="00141DF9" w:rsidRDefault="00C57553" w:rsidP="00141DF9">
      <w:pPr>
        <w:pStyle w:val="ListParagraph"/>
        <w:numPr>
          <w:ilvl w:val="0"/>
          <w:numId w:val="2"/>
        </w:numPr>
        <w:rPr>
          <w:rFonts w:asciiTheme="minorHAnsi" w:hAnsiTheme="minorHAnsi"/>
        </w:rPr>
      </w:pPr>
      <w:r w:rsidRPr="005D43D0">
        <w:rPr>
          <w:rFonts w:asciiTheme="minorHAnsi" w:hAnsiTheme="minorHAnsi"/>
          <w:i/>
        </w:rPr>
        <w:lastRenderedPageBreak/>
        <w:t>Underutilised code provisions:</w:t>
      </w:r>
      <w:r w:rsidRPr="005D43D0">
        <w:rPr>
          <w:rFonts w:asciiTheme="minorHAnsi" w:hAnsiTheme="minorHAnsi"/>
        </w:rPr>
        <w:t xml:space="preserve">  </w:t>
      </w:r>
      <w:r w:rsidR="00066886" w:rsidRPr="005D43D0">
        <w:rPr>
          <w:rFonts w:asciiTheme="minorHAnsi" w:hAnsiTheme="minorHAnsi"/>
        </w:rPr>
        <w:t>Making fuller use of pre-screening</w:t>
      </w:r>
      <w:r w:rsidR="005D43D0">
        <w:rPr>
          <w:rFonts w:asciiTheme="minorHAnsi" w:hAnsiTheme="minorHAnsi"/>
        </w:rPr>
        <w:t>;</w:t>
      </w:r>
      <w:r w:rsidR="00066886" w:rsidRPr="005D43D0">
        <w:rPr>
          <w:rFonts w:asciiTheme="minorHAnsi" w:hAnsiTheme="minorHAnsi"/>
        </w:rPr>
        <w:t xml:space="preserve"> serious credit infringements</w:t>
      </w:r>
      <w:r w:rsidR="005D43D0">
        <w:rPr>
          <w:rFonts w:asciiTheme="minorHAnsi" w:hAnsiTheme="minorHAnsi"/>
        </w:rPr>
        <w:t>;</w:t>
      </w:r>
      <w:r w:rsidR="00066886" w:rsidRPr="005D43D0">
        <w:rPr>
          <w:rFonts w:asciiTheme="minorHAnsi" w:hAnsiTheme="minorHAnsi"/>
        </w:rPr>
        <w:t xml:space="preserve"> credit non-compliance action</w:t>
      </w:r>
      <w:r w:rsidR="005D43D0">
        <w:rPr>
          <w:rFonts w:asciiTheme="minorHAnsi" w:hAnsiTheme="minorHAnsi"/>
        </w:rPr>
        <w:t>;</w:t>
      </w:r>
      <w:r w:rsidR="00066886" w:rsidRPr="005D43D0">
        <w:rPr>
          <w:rFonts w:asciiTheme="minorHAnsi" w:hAnsiTheme="minorHAnsi"/>
        </w:rPr>
        <w:t xml:space="preserve"> driver licence number matching. </w:t>
      </w:r>
    </w:p>
    <w:sectPr w:rsidR="00141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E88"/>
    <w:multiLevelType w:val="hybridMultilevel"/>
    <w:tmpl w:val="FE1E55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752C7A1E"/>
    <w:multiLevelType w:val="hybridMultilevel"/>
    <w:tmpl w:val="8C063184"/>
    <w:lvl w:ilvl="0" w:tplc="3EE64988">
      <w:start w:val="1"/>
      <w:numFmt w:val="decimal"/>
      <w:lvlText w:val="%1."/>
      <w:lvlJc w:val="left"/>
      <w:pPr>
        <w:ind w:left="360" w:hanging="360"/>
      </w:pPr>
      <w:rPr>
        <w:rFonts w:hint="default"/>
      </w:rPr>
    </w:lvl>
    <w:lvl w:ilvl="1" w:tplc="14090017">
      <w:start w:val="1"/>
      <w:numFmt w:val="lowerLetter"/>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F9"/>
    <w:rsid w:val="00066886"/>
    <w:rsid w:val="000C30E0"/>
    <w:rsid w:val="00141DF9"/>
    <w:rsid w:val="001A3091"/>
    <w:rsid w:val="00461453"/>
    <w:rsid w:val="00491696"/>
    <w:rsid w:val="005D43D0"/>
    <w:rsid w:val="00643A8F"/>
    <w:rsid w:val="006A3253"/>
    <w:rsid w:val="006F5038"/>
    <w:rsid w:val="007C122A"/>
    <w:rsid w:val="008100D4"/>
    <w:rsid w:val="00B80C1B"/>
    <w:rsid w:val="00C57553"/>
    <w:rsid w:val="00C90E6C"/>
    <w:rsid w:val="00DD75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F9"/>
    <w:rPr>
      <w:rFonts w:ascii="Arial"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F9"/>
    <w:pPr>
      <w:ind w:left="720"/>
      <w:contextualSpacing/>
    </w:pPr>
  </w:style>
  <w:style w:type="table" w:styleId="TableGrid">
    <w:name w:val="Table Grid"/>
    <w:basedOn w:val="TableNormal"/>
    <w:uiPriority w:val="59"/>
    <w:rsid w:val="00141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F9"/>
    <w:rPr>
      <w:rFonts w:ascii="Arial"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F9"/>
    <w:pPr>
      <w:ind w:left="720"/>
      <w:contextualSpacing/>
    </w:pPr>
  </w:style>
  <w:style w:type="table" w:styleId="TableGrid">
    <w:name w:val="Table Grid"/>
    <w:basedOn w:val="TableNormal"/>
    <w:uiPriority w:val="59"/>
    <w:rsid w:val="00141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Stewart</dc:creator>
  <cp:keywords/>
  <dc:description/>
  <cp:lastModifiedBy>Blair Stewart</cp:lastModifiedBy>
  <cp:revision>5</cp:revision>
  <dcterms:created xsi:type="dcterms:W3CDTF">2018-04-09T02:29:00Z</dcterms:created>
  <dcterms:modified xsi:type="dcterms:W3CDTF">2018-04-09T22:31:00Z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A559042</vt:lpwstr>
  </property>
  <property fmtid="{D5CDD505-2E9C-101B-9397-08002B2CF9AE}" pid="4" name="Objective-Title">
    <vt:lpwstr>Where to now with CRPC review recommendations 9 April 2018</vt:lpwstr>
  </property>
  <property fmtid="{D5CDD505-2E9C-101B-9397-08002B2CF9AE}" pid="5" name="Objective-Comment">
    <vt:lpwstr/>
  </property>
  <property fmtid="{D5CDD505-2E9C-101B-9397-08002B2CF9AE}" pid="6" name="Objective-CreationStamp">
    <vt:filetime>2018-04-09T04:09:24Z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2018-04-09T22:31:54Z</vt:filetime>
  </property>
  <property fmtid="{D5CDD505-2E9C-101B-9397-08002B2CF9AE}" pid="10" name="Objective-ModificationStamp">
    <vt:filetime>2018-04-09T22:31:55Z</vt:filetime>
  </property>
  <property fmtid="{D5CDD505-2E9C-101B-9397-08002B2CF9AE}" pid="11" name="Objective-Owner">
    <vt:lpwstr>Linda Williams</vt:lpwstr>
  </property>
  <property fmtid="{D5CDD505-2E9C-101B-9397-08002B2CF9AE}" pid="12" name="Objective-Path">
    <vt:lpwstr>OPC Global Folder:File Plan:Codes of practice:Credit Reporting Privacy Code 2004:Review of the Credit Reporting Privacy Code - Amendments etc:2016 Review:Submissions on Review Paper December 2016:</vt:lpwstr>
  </property>
  <property fmtid="{D5CDD505-2E9C-101B-9397-08002B2CF9AE}" pid="13" name="Objective-Parent">
    <vt:lpwstr>Submissions on Review Paper December 2016</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ies>
</file>